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49037998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0202431"/>
                <w:text w:multiLine="1"/>
              </w:sdtPr>
              <w:sdtEndPr/>
              <w:sdtContent>
                <w:r>
                  <w:rPr>
                    <w:rFonts w:ascii="Arial" w:hAnsi="Arial"/>
                    <w:b/>
                    <w:bCs/>
                    <w:rtl/>
                  </w:rPr>
                  <w:t>אביגדור דורות</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1095320858"/>
              <w:text w:multiLine="1"/>
            </w:sdtPr>
            <w:sdtEndPr/>
            <w:sdtContent>
              <w:p w:rsidR="00A307AF" w:rsidRDefault="00BF44D0" w:rsidP="00BF44D0">
                <w:pPr>
                  <w:bidi w:val="0"/>
                  <w:jc w:val="right"/>
                  <w:rPr>
                    <w:rFonts w:ascii="Arial" w:hAnsi="Arial"/>
                    <w:b/>
                    <w:bCs/>
                    <w:noProof w:val="0"/>
                    <w:sz w:val="26"/>
                    <w:szCs w:val="26"/>
                    <w:rtl/>
                  </w:rPr>
                </w:pPr>
                <w:r>
                  <w:rPr>
                    <w:rFonts w:ascii="Arial" w:hAnsi="Arial" w:hint="cs"/>
                    <w:b/>
                    <w:bCs/>
                    <w:noProof w:val="0"/>
                    <w:sz w:val="26"/>
                    <w:szCs w:val="26"/>
                    <w:rtl/>
                  </w:rPr>
                  <w:t>המערער</w:t>
                </w:r>
                <w:r w:rsidR="00322D54">
                  <w:rPr>
                    <w:rFonts w:ascii="Arial" w:hAnsi="Arial" w:hint="cs"/>
                    <w:b/>
                    <w:bCs/>
                    <w:noProof w:val="0"/>
                    <w:sz w:val="26"/>
                    <w:szCs w:val="26"/>
                    <w:rtl/>
                  </w:rPr>
                  <w:t>:</w:t>
                </w:r>
              </w:p>
            </w:sdtContent>
          </w:sdt>
        </w:tc>
        <w:tc>
          <w:tcPr>
            <w:tcW w:w="5571" w:type="dxa"/>
          </w:tcPr>
          <w:p w:rsidR="00694556" w:rsidRDefault="00694556">
            <w:pPr>
              <w:rPr>
                <w:rFonts w:ascii="Arial" w:hAnsi="Arial"/>
                <w:b/>
                <w:bCs/>
                <w:noProof w:val="0"/>
                <w:sz w:val="26"/>
                <w:szCs w:val="26"/>
              </w:rPr>
            </w:pPr>
          </w:p>
          <w:p w:rsidR="00694556" w:rsidRDefault="001A2245">
            <w:pPr>
              <w:rPr>
                <w:b/>
                <w:bCs/>
                <w:noProof w:val="0"/>
                <w:sz w:val="26"/>
                <w:szCs w:val="26"/>
              </w:rPr>
            </w:pPr>
            <w:sdt>
              <w:sdtPr>
                <w:rPr>
                  <w:rtl/>
                </w:rPr>
                <w:alias w:val="1478"/>
                <w:tag w:val="1478"/>
                <w:id w:val="406741000"/>
                <w:text w:multiLine="1"/>
              </w:sdtPr>
              <w:sdtEndPr/>
              <w:sdtContent>
                <w:r w:rsidR="00986101">
                  <w:rPr>
                    <w:rFonts w:ascii="Arial" w:hAnsi="Arial"/>
                    <w:b/>
                    <w:bCs/>
                    <w:noProof w:val="0"/>
                    <w:sz w:val="26"/>
                    <w:szCs w:val="26"/>
                    <w:rtl/>
                  </w:rPr>
                  <w:t>משה ברששת</w:t>
                </w:r>
                <w:r w:rsidR="00322D54">
                  <w:rPr>
                    <w:rFonts w:ascii="Arial" w:hAnsi="Arial"/>
                    <w:b/>
                    <w:bCs/>
                    <w:noProof w:val="0"/>
                    <w:sz w:val="26"/>
                    <w:szCs w:val="26"/>
                    <w:rtl/>
                  </w:rPr>
                  <w:br/>
                </w:r>
                <w:r w:rsidR="00322D54">
                  <w:rPr>
                    <w:rFonts w:hint="cs"/>
                    <w:rtl/>
                  </w:rPr>
                  <w:t>ע"י ב"כ יוסי רומנו</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1A2245" w:rsidP="00BF44D0">
            <w:pPr>
              <w:rPr>
                <w:rFonts w:ascii="Arial" w:hAnsi="Arial"/>
                <w:b/>
                <w:bCs/>
                <w:noProof w:val="0"/>
                <w:sz w:val="26"/>
                <w:szCs w:val="26"/>
              </w:rPr>
            </w:pPr>
            <w:sdt>
              <w:sdtPr>
                <w:rPr>
                  <w:b/>
                  <w:bCs/>
                  <w:sz w:val="26"/>
                  <w:szCs w:val="26"/>
                  <w:rtl/>
                </w:rPr>
                <w:alias w:val="1184"/>
                <w:tag w:val="1184"/>
                <w:id w:val="-1990013329"/>
                <w:text w:multiLine="1"/>
              </w:sdtPr>
              <w:sdtEndPr/>
              <w:sdtContent>
                <w:r w:rsidR="00BF44D0" w:rsidRPr="00BF44D0">
                  <w:rPr>
                    <w:rFonts w:hint="cs"/>
                    <w:b/>
                    <w:bCs/>
                    <w:sz w:val="26"/>
                    <w:szCs w:val="26"/>
                    <w:rtl/>
                  </w:rPr>
                  <w:t>המשיב</w:t>
                </w:r>
                <w:r w:rsidR="00322D54">
                  <w:rPr>
                    <w:rFonts w:hint="cs"/>
                    <w:b/>
                    <w:bCs/>
                    <w:sz w:val="26"/>
                    <w:szCs w:val="26"/>
                    <w:rtl/>
                  </w:rPr>
                  <w:t>:</w:t>
                </w:r>
              </w:sdtContent>
            </w:sdt>
          </w:p>
        </w:tc>
        <w:tc>
          <w:tcPr>
            <w:tcW w:w="5571" w:type="dxa"/>
          </w:tcPr>
          <w:p w:rsidR="00694556" w:rsidRDefault="00694556">
            <w:pPr>
              <w:rPr>
                <w:rFonts w:ascii="Arial" w:hAnsi="Arial"/>
                <w:b/>
                <w:bCs/>
                <w:noProof w:val="0"/>
                <w:sz w:val="26"/>
                <w:szCs w:val="26"/>
                <w:rtl/>
              </w:rPr>
            </w:pPr>
          </w:p>
          <w:p w:rsidR="00694556" w:rsidRDefault="001A2245">
            <w:pPr>
              <w:rPr>
                <w:b/>
                <w:bCs/>
                <w:noProof w:val="0"/>
                <w:sz w:val="26"/>
                <w:szCs w:val="26"/>
                <w:rtl/>
              </w:rPr>
            </w:pPr>
            <w:sdt>
              <w:sdtPr>
                <w:rPr>
                  <w:rtl/>
                </w:rPr>
                <w:alias w:val="1486"/>
                <w:tag w:val="1486"/>
                <w:id w:val="93903891"/>
                <w:text w:multiLine="1"/>
              </w:sdtPr>
              <w:sdtEndPr/>
              <w:sdtContent>
                <w:r w:rsidR="00986101">
                  <w:rPr>
                    <w:rFonts w:ascii="Arial" w:hAnsi="Arial"/>
                    <w:b/>
                    <w:bCs/>
                    <w:noProof w:val="0"/>
                    <w:sz w:val="26"/>
                    <w:szCs w:val="26"/>
                    <w:rtl/>
                  </w:rPr>
                  <w:t>פ</w:t>
                </w:r>
                <w:r w:rsidR="00322D54">
                  <w:rPr>
                    <w:rFonts w:ascii="Arial" w:hAnsi="Arial"/>
                    <w:b/>
                    <w:bCs/>
                    <w:noProof w:val="0"/>
                    <w:sz w:val="26"/>
                    <w:szCs w:val="26"/>
                    <w:rtl/>
                  </w:rPr>
                  <w:t xml:space="preserve">קיד שומה ירושלים </w:t>
                </w:r>
                <w:r w:rsidR="00322D54">
                  <w:rPr>
                    <w:rFonts w:ascii="Arial" w:hAnsi="Arial" w:hint="cs"/>
                    <w:b/>
                    <w:bCs/>
                    <w:noProof w:val="0"/>
                    <w:sz w:val="26"/>
                    <w:szCs w:val="26"/>
                    <w:rtl/>
                  </w:rPr>
                  <w:t>1</w:t>
                </w:r>
              </w:sdtContent>
            </w:sdt>
          </w:p>
        </w:tc>
      </w:tr>
    </w:tbl>
    <w:p w:rsidR="00322D54" w:rsidRDefault="00322D54" w:rsidP="00322D54">
      <w:r>
        <w:rPr>
          <w:rFonts w:hint="cs"/>
          <w:rtl/>
        </w:rPr>
        <w:t xml:space="preserve">                                                            ע"י ב"כ עו"ד נדב ביננבאום</w:t>
      </w:r>
      <w:r>
        <w:rPr>
          <w:rtl/>
        </w:rPr>
        <w:tab/>
      </w:r>
      <w:r>
        <w:rPr>
          <w:rtl/>
        </w:rPr>
        <w:tab/>
      </w:r>
      <w:r>
        <w:rPr>
          <w:rtl/>
        </w:rPr>
        <w:tab/>
      </w:r>
      <w:r>
        <w:rPr>
          <w:rtl/>
        </w:rPr>
        <w:tab/>
      </w:r>
      <w:r>
        <w:rPr>
          <w:rtl/>
        </w:rPr>
        <w:tab/>
      </w:r>
      <w:r>
        <w:rPr>
          <w:rFonts w:hint="cs"/>
          <w:rtl/>
        </w:rPr>
        <w:t xml:space="preserve">                                               מפרקליטות מחוז ירושלים (אזרחי)</w:t>
      </w:r>
    </w:p>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BF44D0" w:rsidP="00322D54">
      <w:pPr>
        <w:spacing w:line="360" w:lineRule="auto"/>
        <w:jc w:val="both"/>
        <w:rPr>
          <w:rFonts w:ascii="Arial" w:hAnsi="Arial"/>
          <w:noProof w:val="0"/>
          <w:rtl/>
        </w:rPr>
      </w:pPr>
      <w:r>
        <w:rPr>
          <w:rFonts w:ascii="Arial" w:hAnsi="Arial" w:hint="cs"/>
          <w:noProof w:val="0"/>
          <w:rtl/>
        </w:rPr>
        <w:t>לפניי שני ערעורים שהדיון בהם אוחד על ש</w:t>
      </w:r>
      <w:r w:rsidR="00322D54">
        <w:rPr>
          <w:rFonts w:ascii="Arial" w:hAnsi="Arial" w:hint="cs"/>
          <w:noProof w:val="0"/>
          <w:rtl/>
        </w:rPr>
        <w:t>ו</w:t>
      </w:r>
      <w:r>
        <w:rPr>
          <w:rFonts w:ascii="Arial" w:hAnsi="Arial" w:hint="cs"/>
          <w:noProof w:val="0"/>
          <w:rtl/>
        </w:rPr>
        <w:t xml:space="preserve">מות בצו לפי סעיף 152(ב) לפקודת מס הכנסה [נוסח משולב], </w:t>
      </w:r>
      <w:r w:rsidR="00322D54">
        <w:rPr>
          <w:rFonts w:ascii="Arial" w:hAnsi="Arial" w:hint="cs"/>
          <w:noProof w:val="0"/>
          <w:rtl/>
        </w:rPr>
        <w:t>ה</w:t>
      </w:r>
      <w:r>
        <w:rPr>
          <w:rFonts w:ascii="Arial" w:hAnsi="Arial" w:hint="cs"/>
          <w:noProof w:val="0"/>
          <w:rtl/>
        </w:rPr>
        <w:t xml:space="preserve">תשכ"א </w:t>
      </w:r>
      <w:r>
        <w:rPr>
          <w:rFonts w:ascii="Arial" w:hAnsi="Arial"/>
          <w:noProof w:val="0"/>
          <w:rtl/>
        </w:rPr>
        <w:t>–</w:t>
      </w:r>
      <w:r>
        <w:rPr>
          <w:rFonts w:ascii="Arial" w:hAnsi="Arial" w:hint="cs"/>
          <w:noProof w:val="0"/>
          <w:rtl/>
        </w:rPr>
        <w:t xml:space="preserve"> 1961 (להלן: "</w:t>
      </w:r>
      <w:r w:rsidRPr="008F2785">
        <w:rPr>
          <w:rFonts w:ascii="Arial" w:hAnsi="Arial" w:hint="cs"/>
          <w:b/>
          <w:bCs/>
          <w:noProof w:val="0"/>
          <w:rtl/>
        </w:rPr>
        <w:t>הפקודה</w:t>
      </w:r>
      <w:r>
        <w:rPr>
          <w:rFonts w:ascii="Arial" w:hAnsi="Arial" w:hint="cs"/>
          <w:noProof w:val="0"/>
          <w:rtl/>
        </w:rPr>
        <w:t>") לשנים 2013-2012.</w:t>
      </w:r>
    </w:p>
    <w:p w:rsidR="00BF44D0" w:rsidRDefault="00BF44D0">
      <w:pPr>
        <w:spacing w:line="360" w:lineRule="auto"/>
        <w:jc w:val="both"/>
        <w:rPr>
          <w:rFonts w:ascii="Arial" w:hAnsi="Arial"/>
          <w:noProof w:val="0"/>
          <w:rtl/>
        </w:rPr>
      </w:pPr>
    </w:p>
    <w:p w:rsidR="00BF44D0" w:rsidRPr="00BF44D0" w:rsidRDefault="00BF44D0">
      <w:pPr>
        <w:spacing w:line="360" w:lineRule="auto"/>
        <w:jc w:val="both"/>
        <w:rPr>
          <w:rFonts w:ascii="Arial" w:hAnsi="Arial"/>
          <w:b/>
          <w:bCs/>
          <w:noProof w:val="0"/>
          <w:u w:val="single"/>
          <w:rtl/>
        </w:rPr>
      </w:pPr>
      <w:r w:rsidRPr="00BF44D0">
        <w:rPr>
          <w:rFonts w:ascii="Arial" w:hAnsi="Arial" w:hint="cs"/>
          <w:b/>
          <w:bCs/>
          <w:noProof w:val="0"/>
          <w:u w:val="single"/>
          <w:rtl/>
        </w:rPr>
        <w:t>רקע עובדתי</w:t>
      </w:r>
    </w:p>
    <w:p w:rsidR="00694556" w:rsidRDefault="00BF44D0" w:rsidP="008F2785">
      <w:pPr>
        <w:spacing w:line="360" w:lineRule="auto"/>
        <w:jc w:val="both"/>
        <w:rPr>
          <w:rFonts w:ascii="Arial" w:hAnsi="Arial"/>
          <w:noProof w:val="0"/>
          <w:rtl/>
        </w:rPr>
      </w:pPr>
      <w:r>
        <w:rPr>
          <w:rFonts w:ascii="Arial" w:hAnsi="Arial" w:hint="cs"/>
          <w:noProof w:val="0"/>
          <w:rtl/>
        </w:rPr>
        <w:t>1.</w:t>
      </w:r>
      <w:r>
        <w:rPr>
          <w:rFonts w:ascii="Arial" w:hAnsi="Arial" w:hint="cs"/>
          <w:noProof w:val="0"/>
          <w:rtl/>
        </w:rPr>
        <w:tab/>
        <w:t xml:space="preserve">המערער הגיש למשיב שתי הצהרות הון, כדלקמן: </w:t>
      </w:r>
    </w:p>
    <w:p w:rsidR="00BF44D0" w:rsidRDefault="00BF44D0" w:rsidP="00BF44D0">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הראשונה, הצהרת הון ליום 31.12.03. </w:t>
      </w:r>
    </w:p>
    <w:p w:rsidR="00BF44D0" w:rsidRDefault="00BF44D0" w:rsidP="00BF44D0">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השנייה, הצהרת הון ליום 31.12.12. </w:t>
      </w:r>
    </w:p>
    <w:p w:rsidR="00BF44D0" w:rsidRDefault="00BF44D0" w:rsidP="00BF44D0">
      <w:pPr>
        <w:spacing w:line="360" w:lineRule="auto"/>
        <w:jc w:val="both"/>
        <w:rPr>
          <w:rFonts w:ascii="Arial" w:hAnsi="Arial"/>
          <w:noProof w:val="0"/>
          <w:rtl/>
        </w:rPr>
      </w:pPr>
    </w:p>
    <w:p w:rsidR="00BF44D0" w:rsidRDefault="00BF44D0" w:rsidP="00322D54">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לטענת המשיב, קיימים הפרשי הון בלתי מוסברים בהון והכנסות נוספות, שלדעתו היו צריכים להיות מדווחים כהכנסות וכתוצאה מכך הוצאו השומות בגינן הוגשו הערעורים בהליכים הנ"ל. </w:t>
      </w:r>
    </w:p>
    <w:p w:rsidR="00BF44D0" w:rsidRDefault="00BF44D0" w:rsidP="00BF44D0">
      <w:pPr>
        <w:spacing w:line="360" w:lineRule="auto"/>
        <w:ind w:left="720" w:hanging="720"/>
        <w:jc w:val="both"/>
        <w:rPr>
          <w:rFonts w:ascii="Arial" w:hAnsi="Arial"/>
          <w:noProof w:val="0"/>
          <w:rtl/>
        </w:rPr>
      </w:pPr>
    </w:p>
    <w:p w:rsidR="00BF44D0" w:rsidRDefault="00BF44D0" w:rsidP="00322D54">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למערערת החזקות</w:t>
      </w:r>
      <w:r w:rsidR="00322D54">
        <w:rPr>
          <w:rFonts w:ascii="Arial" w:hAnsi="Arial" w:hint="cs"/>
          <w:noProof w:val="0"/>
          <w:rtl/>
        </w:rPr>
        <w:t>, בין היתר,</w:t>
      </w:r>
      <w:r>
        <w:rPr>
          <w:rFonts w:ascii="Arial" w:hAnsi="Arial" w:hint="cs"/>
          <w:noProof w:val="0"/>
          <w:rtl/>
        </w:rPr>
        <w:t xml:space="preserve"> ב-</w:t>
      </w:r>
      <w:r w:rsidR="00322D54">
        <w:rPr>
          <w:rFonts w:ascii="Arial" w:hAnsi="Arial" w:hint="cs"/>
          <w:noProof w:val="0"/>
          <w:rtl/>
        </w:rPr>
        <w:t>4</w:t>
      </w:r>
      <w:r>
        <w:rPr>
          <w:rFonts w:ascii="Arial" w:hAnsi="Arial" w:hint="cs"/>
          <w:noProof w:val="0"/>
          <w:rtl/>
        </w:rPr>
        <w:t xml:space="preserve"> חברות פרטיות ובשותפות רשומה אחת </w:t>
      </w:r>
      <w:r>
        <w:rPr>
          <w:rFonts w:ascii="Arial" w:hAnsi="Arial"/>
          <w:noProof w:val="0"/>
          <w:rtl/>
        </w:rPr>
        <w:t>–</w:t>
      </w:r>
      <w:r>
        <w:rPr>
          <w:rFonts w:ascii="Arial" w:hAnsi="Arial" w:hint="cs"/>
          <w:noProof w:val="0"/>
          <w:rtl/>
        </w:rPr>
        <w:t xml:space="preserve"> כדלקמן: </w:t>
      </w:r>
    </w:p>
    <w:p w:rsidR="00BF44D0" w:rsidRDefault="00BF44D0" w:rsidP="00BF44D0">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החזקה ב </w:t>
      </w:r>
      <w:r>
        <w:rPr>
          <w:rFonts w:ascii="Arial" w:hAnsi="Arial"/>
          <w:noProof w:val="0"/>
          <w:rtl/>
        </w:rPr>
        <w:t>–</w:t>
      </w:r>
      <w:r>
        <w:rPr>
          <w:rFonts w:ascii="Arial" w:hAnsi="Arial" w:hint="cs"/>
          <w:noProof w:val="0"/>
          <w:rtl/>
        </w:rPr>
        <w:t xml:space="preserve"> 100% מהון המניות של חברת "אידיאל דודי שמש (מקבוצת דודומט) בע"מ </w:t>
      </w:r>
      <w:r>
        <w:rPr>
          <w:rFonts w:ascii="Arial" w:hAnsi="Arial"/>
          <w:noProof w:val="0"/>
          <w:rtl/>
        </w:rPr>
        <w:t>–</w:t>
      </w:r>
      <w:r>
        <w:rPr>
          <w:rFonts w:ascii="Arial" w:hAnsi="Arial" w:hint="cs"/>
          <w:noProof w:val="0"/>
          <w:rtl/>
        </w:rPr>
        <w:t xml:space="preserve"> ח.פ. 513921734" (להלן: "</w:t>
      </w:r>
      <w:r w:rsidRPr="008F2785">
        <w:rPr>
          <w:rFonts w:ascii="Arial" w:hAnsi="Arial" w:hint="cs"/>
          <w:b/>
          <w:bCs/>
          <w:noProof w:val="0"/>
          <w:rtl/>
        </w:rPr>
        <w:t>החברה</w:t>
      </w:r>
      <w:r>
        <w:rPr>
          <w:rFonts w:ascii="Arial" w:hAnsi="Arial" w:hint="cs"/>
          <w:noProof w:val="0"/>
          <w:rtl/>
        </w:rPr>
        <w:t>")</w:t>
      </w:r>
      <w:r w:rsidR="00536743">
        <w:rPr>
          <w:rFonts w:ascii="Arial" w:hAnsi="Arial" w:hint="cs"/>
          <w:noProof w:val="0"/>
          <w:rtl/>
        </w:rPr>
        <w:t>;</w:t>
      </w:r>
    </w:p>
    <w:p w:rsidR="00BF44D0" w:rsidRDefault="00BF44D0" w:rsidP="00322D54">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החזקה ב- 100% מהון המניות של חברת "אידיאל אנרגיות סולאריות בע"מ </w:t>
      </w:r>
      <w:r>
        <w:rPr>
          <w:rFonts w:ascii="Arial" w:hAnsi="Arial"/>
          <w:noProof w:val="0"/>
          <w:rtl/>
        </w:rPr>
        <w:t>–</w:t>
      </w:r>
      <w:r>
        <w:rPr>
          <w:rFonts w:ascii="Arial" w:hAnsi="Arial" w:hint="cs"/>
          <w:noProof w:val="0"/>
          <w:rtl/>
        </w:rPr>
        <w:t xml:space="preserve"> ח.פ. 510417454" זאת עד לשנת 2014 (להלן: "</w:t>
      </w:r>
      <w:r w:rsidRPr="008F2785">
        <w:rPr>
          <w:rFonts w:ascii="Arial" w:hAnsi="Arial" w:hint="cs"/>
          <w:b/>
          <w:bCs/>
          <w:noProof w:val="0"/>
          <w:rtl/>
        </w:rPr>
        <w:t>אידיאל אנרגי</w:t>
      </w:r>
      <w:r w:rsidR="00322D54">
        <w:rPr>
          <w:rFonts w:ascii="Arial" w:hAnsi="Arial" w:hint="cs"/>
          <w:b/>
          <w:bCs/>
          <w:noProof w:val="0"/>
          <w:rtl/>
        </w:rPr>
        <w:t>ות</w:t>
      </w:r>
      <w:r>
        <w:rPr>
          <w:rFonts w:ascii="Arial" w:hAnsi="Arial" w:hint="cs"/>
          <w:noProof w:val="0"/>
          <w:rtl/>
        </w:rPr>
        <w:t xml:space="preserve">"); </w:t>
      </w:r>
    </w:p>
    <w:p w:rsidR="00BF44D0" w:rsidRDefault="00BF44D0" w:rsidP="008F2785">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החזקה ב- 50% מהון המניות של חברת "</w:t>
      </w:r>
      <w:r w:rsidRPr="008F2785">
        <w:rPr>
          <w:rFonts w:ascii="Arial" w:hAnsi="Arial" w:hint="cs"/>
          <w:noProof w:val="0"/>
          <w:rtl/>
        </w:rPr>
        <w:t>אידיאל דודי שמש בע"מ</w:t>
      </w:r>
      <w:r>
        <w:rPr>
          <w:rFonts w:ascii="Arial" w:hAnsi="Arial" w:hint="cs"/>
          <w:noProof w:val="0"/>
          <w:rtl/>
        </w:rPr>
        <w:t xml:space="preserve"> </w:t>
      </w:r>
      <w:r>
        <w:rPr>
          <w:rFonts w:ascii="Arial" w:hAnsi="Arial"/>
          <w:noProof w:val="0"/>
          <w:rtl/>
        </w:rPr>
        <w:t>–</w:t>
      </w:r>
      <w:r>
        <w:rPr>
          <w:rFonts w:ascii="Arial" w:hAnsi="Arial" w:hint="cs"/>
          <w:noProof w:val="0"/>
          <w:rtl/>
        </w:rPr>
        <w:t xml:space="preserve"> ח.פ. 512908146", עד לשנת 2013 (להלן: "</w:t>
      </w:r>
      <w:r w:rsidRPr="008F2785">
        <w:rPr>
          <w:rFonts w:ascii="Arial" w:hAnsi="Arial" w:hint="cs"/>
          <w:b/>
          <w:bCs/>
          <w:noProof w:val="0"/>
          <w:rtl/>
        </w:rPr>
        <w:t>אידי</w:t>
      </w:r>
      <w:r w:rsidR="00536743" w:rsidRPr="008F2785">
        <w:rPr>
          <w:rFonts w:ascii="Arial" w:hAnsi="Arial" w:hint="cs"/>
          <w:b/>
          <w:bCs/>
          <w:noProof w:val="0"/>
          <w:rtl/>
        </w:rPr>
        <w:t xml:space="preserve">אל </w:t>
      </w:r>
      <w:r w:rsidR="00322D54">
        <w:rPr>
          <w:rFonts w:ascii="Arial" w:hAnsi="Arial" w:hint="cs"/>
          <w:b/>
          <w:bCs/>
          <w:noProof w:val="0"/>
          <w:rtl/>
        </w:rPr>
        <w:t xml:space="preserve">דודי </w:t>
      </w:r>
      <w:r w:rsidR="00536743" w:rsidRPr="008F2785">
        <w:rPr>
          <w:rFonts w:ascii="Arial" w:hAnsi="Arial" w:hint="cs"/>
          <w:b/>
          <w:bCs/>
          <w:noProof w:val="0"/>
          <w:rtl/>
        </w:rPr>
        <w:t>שמש</w:t>
      </w:r>
      <w:r w:rsidR="00536743">
        <w:rPr>
          <w:rFonts w:ascii="Arial" w:hAnsi="Arial" w:hint="cs"/>
          <w:noProof w:val="0"/>
          <w:rtl/>
        </w:rPr>
        <w:t>");</w:t>
      </w:r>
    </w:p>
    <w:p w:rsidR="00536743" w:rsidRDefault="00536743" w:rsidP="008F2785">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החזקה ב </w:t>
      </w:r>
      <w:r>
        <w:rPr>
          <w:rFonts w:ascii="Arial" w:hAnsi="Arial"/>
          <w:noProof w:val="0"/>
          <w:rtl/>
        </w:rPr>
        <w:t>–</w:t>
      </w:r>
      <w:r>
        <w:rPr>
          <w:rFonts w:ascii="Arial" w:hAnsi="Arial" w:hint="cs"/>
          <w:noProof w:val="0"/>
          <w:rtl/>
        </w:rPr>
        <w:t xml:space="preserve"> 50% מהון המניות של חברת "</w:t>
      </w:r>
      <w:r w:rsidRPr="008F2785">
        <w:rPr>
          <w:rFonts w:ascii="Arial" w:hAnsi="Arial" w:hint="cs"/>
          <w:noProof w:val="0"/>
          <w:rtl/>
        </w:rPr>
        <w:t>איד</w:t>
      </w:r>
      <w:r w:rsidR="00322D54">
        <w:rPr>
          <w:rFonts w:ascii="Arial" w:hAnsi="Arial" w:hint="cs"/>
          <w:noProof w:val="0"/>
          <w:rtl/>
        </w:rPr>
        <w:t>י</w:t>
      </w:r>
      <w:r w:rsidRPr="008F2785">
        <w:rPr>
          <w:rFonts w:ascii="Arial" w:hAnsi="Arial" w:hint="cs"/>
          <w:noProof w:val="0"/>
          <w:rtl/>
        </w:rPr>
        <w:t>אל  סולר אחזקות בע"מ</w:t>
      </w:r>
      <w:r>
        <w:rPr>
          <w:rFonts w:ascii="Arial" w:hAnsi="Arial" w:hint="cs"/>
          <w:noProof w:val="0"/>
          <w:rtl/>
        </w:rPr>
        <w:t xml:space="preserve"> </w:t>
      </w:r>
      <w:r>
        <w:rPr>
          <w:rFonts w:ascii="Arial" w:hAnsi="Arial"/>
          <w:noProof w:val="0"/>
          <w:rtl/>
        </w:rPr>
        <w:t>–</w:t>
      </w:r>
      <w:r>
        <w:rPr>
          <w:rFonts w:ascii="Arial" w:hAnsi="Arial" w:hint="cs"/>
          <w:noProof w:val="0"/>
          <w:rtl/>
        </w:rPr>
        <w:t xml:space="preserve"> ח.פ. 514604339" (להלן: </w:t>
      </w:r>
      <w:r w:rsidRPr="008F2785">
        <w:rPr>
          <w:rFonts w:ascii="Arial" w:hAnsi="Arial" w:hint="cs"/>
          <w:b/>
          <w:bCs/>
          <w:noProof w:val="0"/>
          <w:rtl/>
        </w:rPr>
        <w:t>אידיאל סולר</w:t>
      </w:r>
      <w:r>
        <w:rPr>
          <w:rFonts w:ascii="Arial" w:hAnsi="Arial" w:hint="cs"/>
          <w:noProof w:val="0"/>
          <w:rtl/>
        </w:rPr>
        <w:t xml:space="preserve">"); </w:t>
      </w:r>
    </w:p>
    <w:p w:rsidR="00694556" w:rsidRDefault="00536743" w:rsidP="00536743">
      <w:pPr>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t>החזקה ב- 50% מזכויות השותפות "מארק את ברששת</w:t>
      </w:r>
      <w:r w:rsidR="00322D54">
        <w:rPr>
          <w:rFonts w:ascii="Arial" w:hAnsi="Arial" w:hint="cs"/>
          <w:noProof w:val="0"/>
          <w:rtl/>
        </w:rPr>
        <w:t>"</w:t>
      </w:r>
      <w:r>
        <w:rPr>
          <w:rFonts w:ascii="Arial" w:hAnsi="Arial" w:hint="cs"/>
          <w:noProof w:val="0"/>
          <w:rtl/>
        </w:rPr>
        <w:t xml:space="preserve"> </w:t>
      </w:r>
      <w:r>
        <w:rPr>
          <w:rFonts w:ascii="Arial" w:hAnsi="Arial"/>
          <w:noProof w:val="0"/>
          <w:rtl/>
        </w:rPr>
        <w:t>–</w:t>
      </w:r>
      <w:r>
        <w:rPr>
          <w:rFonts w:ascii="Arial" w:hAnsi="Arial" w:hint="cs"/>
          <w:noProof w:val="0"/>
          <w:rtl/>
        </w:rPr>
        <w:t xml:space="preserve"> שותפות מספר 557887274" (להלן: "</w:t>
      </w:r>
      <w:r w:rsidRPr="008F2785">
        <w:rPr>
          <w:rFonts w:ascii="Arial" w:hAnsi="Arial" w:hint="cs"/>
          <w:b/>
          <w:bCs/>
          <w:noProof w:val="0"/>
          <w:rtl/>
        </w:rPr>
        <w:t>השותפות</w:t>
      </w:r>
      <w:r>
        <w:rPr>
          <w:rFonts w:ascii="Arial" w:hAnsi="Arial" w:hint="cs"/>
          <w:noProof w:val="0"/>
          <w:rtl/>
        </w:rPr>
        <w:t xml:space="preserve">"). </w:t>
      </w:r>
    </w:p>
    <w:p w:rsidR="00536743" w:rsidRDefault="00536743" w:rsidP="00536743">
      <w:pPr>
        <w:spacing w:line="360" w:lineRule="auto"/>
        <w:jc w:val="both"/>
        <w:rPr>
          <w:rFonts w:ascii="Arial" w:hAnsi="Arial"/>
          <w:noProof w:val="0"/>
          <w:rtl/>
        </w:rPr>
      </w:pPr>
    </w:p>
    <w:p w:rsidR="00536743" w:rsidRDefault="00536743" w:rsidP="00322D54">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המערער הצהיר כי הכנסותיו נובעות ממשכורת מהחברה ומאידיאל אנרגי</w:t>
      </w:r>
      <w:r w:rsidR="00322D54">
        <w:rPr>
          <w:rFonts w:ascii="Arial" w:hAnsi="Arial" w:hint="cs"/>
          <w:noProof w:val="0"/>
          <w:rtl/>
        </w:rPr>
        <w:t>ות</w:t>
      </w:r>
      <w:r>
        <w:rPr>
          <w:rFonts w:ascii="Arial" w:hAnsi="Arial" w:hint="cs"/>
          <w:noProof w:val="0"/>
          <w:rtl/>
        </w:rPr>
        <w:t xml:space="preserve"> </w:t>
      </w:r>
      <w:r>
        <w:rPr>
          <w:rFonts w:ascii="Arial" w:hAnsi="Arial"/>
          <w:noProof w:val="0"/>
          <w:rtl/>
        </w:rPr>
        <w:t>–</w:t>
      </w:r>
      <w:r>
        <w:rPr>
          <w:rFonts w:ascii="Arial" w:hAnsi="Arial" w:hint="cs"/>
          <w:noProof w:val="0"/>
          <w:rtl/>
        </w:rPr>
        <w:t xml:space="preserve"> בהן שימש כמנהל החברה, הכנסות מדמי שכירות (הכנסה פאסיבי</w:t>
      </w:r>
      <w:r w:rsidR="00322D54">
        <w:rPr>
          <w:rFonts w:ascii="Arial" w:hAnsi="Arial" w:hint="cs"/>
          <w:noProof w:val="0"/>
          <w:rtl/>
        </w:rPr>
        <w:t>ת</w:t>
      </w:r>
      <w:r>
        <w:rPr>
          <w:rFonts w:ascii="Arial" w:hAnsi="Arial" w:hint="cs"/>
          <w:noProof w:val="0"/>
          <w:rtl/>
        </w:rPr>
        <w:t xml:space="preserve">) של 9 נכסי מקרקעין ודירות מגורים </w:t>
      </w:r>
      <w:r>
        <w:rPr>
          <w:rFonts w:ascii="Arial" w:hAnsi="Arial"/>
          <w:noProof w:val="0"/>
          <w:rtl/>
        </w:rPr>
        <w:t>–</w:t>
      </w:r>
      <w:r>
        <w:rPr>
          <w:rFonts w:ascii="Arial" w:hAnsi="Arial" w:hint="cs"/>
          <w:noProof w:val="0"/>
          <w:rtl/>
        </w:rPr>
        <w:t xml:space="preserve"> על כן, חיוב המס למערער נובע מסעיף 2(6) לפקודה [הכנסות משכירות דירה] מסעיף 122(א) [מסלול מס בשיעור 10%] לפקודה. </w:t>
      </w:r>
    </w:p>
    <w:p w:rsidR="00694556" w:rsidRDefault="00694556">
      <w:pPr>
        <w:spacing w:line="360" w:lineRule="auto"/>
        <w:jc w:val="both"/>
        <w:rPr>
          <w:rFonts w:ascii="Arial" w:hAnsi="Arial"/>
          <w:noProof w:val="0"/>
          <w:rtl/>
        </w:rPr>
      </w:pPr>
    </w:p>
    <w:p w:rsidR="00536743" w:rsidRDefault="00536743" w:rsidP="00536743">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תחילה קבע המשיב כי למערער גידול הון בלתי  מוסבר בסך 5.6 מיליון ₪. לאחר הגשת תצהיר העדות מטעם המערער ניהלו הצדדים השלמות לצורך בירור המחלוקות וכתוצאה מכך הסכים המשיב לקבל את טענת המערער לעניין יתרת זכות של 2.5 מיליון ₪, באופן שגידול ההו</w:t>
      </w:r>
      <w:r w:rsidR="00BE5D01">
        <w:rPr>
          <w:rFonts w:ascii="Arial" w:hAnsi="Arial" w:hint="cs"/>
          <w:noProof w:val="0"/>
          <w:rtl/>
        </w:rPr>
        <w:t>ן הוקטן לסך</w:t>
      </w:r>
      <w:r w:rsidR="00322D54">
        <w:rPr>
          <w:rFonts w:ascii="Arial" w:hAnsi="Arial" w:hint="cs"/>
          <w:noProof w:val="0"/>
          <w:rtl/>
        </w:rPr>
        <w:t xml:space="preserve"> של כ</w:t>
      </w:r>
      <w:r w:rsidR="001E6229">
        <w:rPr>
          <w:rFonts w:ascii="Arial" w:hAnsi="Arial" w:hint="cs"/>
          <w:noProof w:val="0"/>
          <w:rtl/>
        </w:rPr>
        <w:t>-</w:t>
      </w:r>
      <w:r w:rsidR="00BE5D01">
        <w:rPr>
          <w:rFonts w:ascii="Arial" w:hAnsi="Arial" w:hint="cs"/>
          <w:noProof w:val="0"/>
          <w:rtl/>
        </w:rPr>
        <w:t xml:space="preserve"> 3 מיליון ₪. </w:t>
      </w:r>
    </w:p>
    <w:p w:rsidR="00BE5D01" w:rsidRDefault="00BE5D01" w:rsidP="00536743">
      <w:pPr>
        <w:spacing w:line="360" w:lineRule="auto"/>
        <w:ind w:left="720" w:hanging="720"/>
        <w:jc w:val="both"/>
        <w:rPr>
          <w:rFonts w:ascii="Arial" w:hAnsi="Arial"/>
          <w:noProof w:val="0"/>
          <w:rtl/>
        </w:rPr>
      </w:pPr>
    </w:p>
    <w:p w:rsidR="00BE5D01" w:rsidRDefault="00BE5D01" w:rsidP="00536743">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נותרו שלוש מחלוקות בין הצדדים בנוגע להפרשי ההון: </w:t>
      </w:r>
    </w:p>
    <w:p w:rsidR="00BE5D01" w:rsidRDefault="00BE5D01" w:rsidP="00BE5D01">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טענת המערער בדבר קבלת הלוואות משני גורמים פרטיים, ניר גלבוע ואריק קצ</w:t>
      </w:r>
      <w:r w:rsidR="008F2785">
        <w:rPr>
          <w:rFonts w:ascii="Arial" w:hAnsi="Arial" w:hint="cs"/>
          <w:noProof w:val="0"/>
          <w:rtl/>
        </w:rPr>
        <w:t>נ</w:t>
      </w:r>
      <w:r>
        <w:rPr>
          <w:rFonts w:ascii="Arial" w:hAnsi="Arial" w:hint="cs"/>
          <w:noProof w:val="0"/>
          <w:rtl/>
        </w:rPr>
        <w:t xml:space="preserve">שטיין, כמפורט להלן, בסך 1,866,750 ₪. </w:t>
      </w:r>
    </w:p>
    <w:p w:rsidR="00BE5D01" w:rsidRDefault="00BE5D01" w:rsidP="00BE5D01">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הגדלת שווי יתרת המערער בשותפות בסך 2.8 מיליון ₪. </w:t>
      </w:r>
    </w:p>
    <w:p w:rsidR="00BE5D01" w:rsidRDefault="00BE5D01" w:rsidP="00BE5D01">
      <w:pPr>
        <w:spacing w:line="360" w:lineRule="auto"/>
        <w:ind w:left="1440" w:hanging="720"/>
        <w:jc w:val="both"/>
        <w:rPr>
          <w:rFonts w:ascii="Arial" w:hAnsi="Arial"/>
          <w:noProof w:val="0"/>
          <w:rtl/>
        </w:rPr>
      </w:pPr>
      <w:r>
        <w:rPr>
          <w:rFonts w:ascii="Arial" w:hAnsi="Arial" w:hint="cs"/>
          <w:noProof w:val="0"/>
          <w:rtl/>
        </w:rPr>
        <w:t xml:space="preserve">ג. </w:t>
      </w:r>
      <w:r>
        <w:rPr>
          <w:rFonts w:ascii="Arial" w:hAnsi="Arial" w:hint="cs"/>
          <w:noProof w:val="0"/>
          <w:rtl/>
        </w:rPr>
        <w:tab/>
        <w:t xml:space="preserve">מחלוקת בנוגע לחישוב הוצאות המחיה. </w:t>
      </w:r>
    </w:p>
    <w:p w:rsidR="00BE5D01" w:rsidRDefault="00BE5D01" w:rsidP="00BE5D01">
      <w:pPr>
        <w:spacing w:line="360" w:lineRule="auto"/>
        <w:jc w:val="both"/>
        <w:rPr>
          <w:rFonts w:ascii="Arial" w:hAnsi="Arial"/>
          <w:noProof w:val="0"/>
          <w:rtl/>
        </w:rPr>
      </w:pPr>
    </w:p>
    <w:p w:rsidR="00BE5D01" w:rsidRDefault="00BE5D01" w:rsidP="00BE5D01">
      <w:pPr>
        <w:spacing w:line="360" w:lineRule="auto"/>
        <w:jc w:val="both"/>
        <w:rPr>
          <w:rFonts w:ascii="Arial" w:hAnsi="Arial"/>
          <w:noProof w:val="0"/>
          <w:rtl/>
        </w:rPr>
      </w:pPr>
      <w:r>
        <w:rPr>
          <w:rFonts w:ascii="Arial" w:hAnsi="Arial" w:hint="cs"/>
          <w:noProof w:val="0"/>
          <w:rtl/>
        </w:rPr>
        <w:t>7.</w:t>
      </w:r>
      <w:r>
        <w:rPr>
          <w:rFonts w:ascii="Arial" w:hAnsi="Arial" w:hint="cs"/>
          <w:noProof w:val="0"/>
          <w:rtl/>
        </w:rPr>
        <w:tab/>
        <w:t xml:space="preserve">בנוסף למחלוקות הנ"ל, נותרו מחלוקות נוספות כדלקמן: </w:t>
      </w:r>
    </w:p>
    <w:p w:rsidR="00BE5D01" w:rsidRDefault="00BE5D01" w:rsidP="00BE5D01">
      <w:pPr>
        <w:spacing w:line="360" w:lineRule="auto"/>
        <w:jc w:val="both"/>
        <w:rPr>
          <w:rFonts w:ascii="Arial" w:hAnsi="Arial"/>
          <w:noProof w:val="0"/>
          <w:rtl/>
        </w:rPr>
      </w:pPr>
      <w:r>
        <w:rPr>
          <w:rFonts w:ascii="Arial" w:hAnsi="Arial"/>
          <w:noProof w:val="0"/>
          <w:rtl/>
        </w:rPr>
        <w:tab/>
      </w:r>
      <w:r>
        <w:rPr>
          <w:rFonts w:ascii="Arial" w:hAnsi="Arial" w:hint="cs"/>
          <w:noProof w:val="0"/>
          <w:rtl/>
        </w:rPr>
        <w:t>ד.</w:t>
      </w:r>
      <w:r>
        <w:rPr>
          <w:rFonts w:ascii="Arial" w:hAnsi="Arial" w:hint="cs"/>
          <w:noProof w:val="0"/>
          <w:rtl/>
        </w:rPr>
        <w:tab/>
        <w:t xml:space="preserve">אי הכרה בהוצאות מימון שדרש המערער כנגד הכנסותיו משכירות, בסך 108,733 ₪. </w:t>
      </w:r>
    </w:p>
    <w:p w:rsidR="00BE5D01" w:rsidRDefault="00BE5D01" w:rsidP="00BE5D01">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רישום הכנסה מיתרת זכות בחב' אידיאל סולר לשנת 2012 וחיוב ריבית על משיכה בשנת 2013. </w:t>
      </w:r>
    </w:p>
    <w:p w:rsidR="00BE5D01" w:rsidRDefault="00BE5D01" w:rsidP="00BE5D01">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 xml:space="preserve">חיוב המערער בתוספת הכנסה מהשכרת נכס לחברת בזק בשנת 2013, בסך 39,840 ₪. </w:t>
      </w:r>
    </w:p>
    <w:p w:rsidR="001E6229" w:rsidRDefault="001E6229" w:rsidP="00BE5D01">
      <w:pPr>
        <w:spacing w:line="360" w:lineRule="auto"/>
        <w:ind w:left="1440" w:hanging="720"/>
        <w:jc w:val="both"/>
        <w:rPr>
          <w:rFonts w:ascii="Arial" w:hAnsi="Arial"/>
          <w:noProof w:val="0"/>
          <w:rtl/>
        </w:rPr>
      </w:pPr>
      <w:r>
        <w:rPr>
          <w:rFonts w:ascii="Arial" w:hAnsi="Arial" w:hint="cs"/>
          <w:noProof w:val="0"/>
          <w:rtl/>
        </w:rPr>
        <w:t>ז.           חיוב המערער בקנס גירעון.</w:t>
      </w:r>
    </w:p>
    <w:p w:rsidR="00536743" w:rsidRDefault="00536743">
      <w:pPr>
        <w:spacing w:line="360" w:lineRule="auto"/>
        <w:jc w:val="both"/>
        <w:rPr>
          <w:rFonts w:ascii="Arial" w:hAnsi="Arial"/>
          <w:noProof w:val="0"/>
          <w:rtl/>
        </w:rPr>
      </w:pPr>
    </w:p>
    <w:p w:rsidR="00BE5D01" w:rsidRDefault="00BE5D01" w:rsidP="001E6229">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המשיב ציין כי המערער הורשע על פי הודאתו בשנת 2018 בעבירות לפי חוק מס ערך מוסף - 1975 ולפי הפקודה (</w:t>
      </w:r>
      <w:r w:rsidR="001E6229">
        <w:rPr>
          <w:rFonts w:ascii="Arial" w:hAnsi="Arial" w:hint="cs"/>
          <w:noProof w:val="0"/>
          <w:rtl/>
        </w:rPr>
        <w:t>ת</w:t>
      </w:r>
      <w:r>
        <w:rPr>
          <w:rFonts w:ascii="Arial" w:hAnsi="Arial" w:hint="cs"/>
          <w:noProof w:val="0"/>
          <w:rtl/>
        </w:rPr>
        <w:t xml:space="preserve">"פ 56649-11-11 </w:t>
      </w:r>
      <w:r w:rsidR="001E6229">
        <w:rPr>
          <w:rFonts w:ascii="Arial" w:hAnsi="Arial" w:hint="cs"/>
          <w:noProof w:val="0"/>
          <w:rtl/>
        </w:rPr>
        <w:t>ו</w:t>
      </w:r>
      <w:r>
        <w:rPr>
          <w:rFonts w:ascii="Arial" w:hAnsi="Arial" w:hint="cs"/>
          <w:noProof w:val="0"/>
          <w:rtl/>
        </w:rPr>
        <w:t xml:space="preserve">ת"פ 11797-09-14) כמפורט  בהכרעת הדין מיום 28.2.18. </w:t>
      </w:r>
    </w:p>
    <w:p w:rsidR="00BE5D01" w:rsidRDefault="00BE5D01" w:rsidP="00BE5D01">
      <w:pPr>
        <w:spacing w:line="360" w:lineRule="auto"/>
        <w:ind w:left="720" w:hanging="720"/>
        <w:jc w:val="both"/>
        <w:rPr>
          <w:rFonts w:ascii="Arial" w:hAnsi="Arial"/>
          <w:noProof w:val="0"/>
          <w:rtl/>
        </w:rPr>
      </w:pPr>
    </w:p>
    <w:p w:rsidR="00BE5D01" w:rsidRDefault="00BE5D01" w:rsidP="00BE5D01">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טענות הצדדים  יפורטו להלן במסגרת הדיון שייערך ביחס לכל אחת מן המחלוקות בין הצדדים. </w:t>
      </w:r>
    </w:p>
    <w:p w:rsidR="00BE5D01" w:rsidRDefault="00BE5D01" w:rsidP="00BE5D01">
      <w:pPr>
        <w:spacing w:line="360" w:lineRule="auto"/>
        <w:ind w:left="720" w:hanging="720"/>
        <w:jc w:val="both"/>
        <w:rPr>
          <w:rFonts w:ascii="Arial" w:hAnsi="Arial"/>
          <w:noProof w:val="0"/>
          <w:rtl/>
        </w:rPr>
      </w:pPr>
    </w:p>
    <w:p w:rsidR="00BE5D01" w:rsidRDefault="00BE5D01" w:rsidP="001E6229">
      <w:pPr>
        <w:spacing w:line="360" w:lineRule="auto"/>
        <w:ind w:left="720" w:hanging="720"/>
        <w:jc w:val="both"/>
        <w:rPr>
          <w:rFonts w:ascii="Arial" w:hAnsi="Arial"/>
          <w:noProof w:val="0"/>
          <w:rtl/>
        </w:rPr>
      </w:pPr>
      <w:r>
        <w:rPr>
          <w:rFonts w:ascii="Arial" w:hAnsi="Arial" w:hint="cs"/>
          <w:noProof w:val="0"/>
          <w:rtl/>
        </w:rPr>
        <w:lastRenderedPageBreak/>
        <w:t>10.</w:t>
      </w:r>
      <w:r>
        <w:rPr>
          <w:rFonts w:ascii="Arial" w:hAnsi="Arial" w:hint="cs"/>
          <w:noProof w:val="0"/>
          <w:rtl/>
        </w:rPr>
        <w:tab/>
        <w:t>בשלב זה יצוין כי בתחילת הדרך, עמד הפרש ההון הבלתי מוסבר על סך 6,199,814 ₪. לאחר מכן, קיבל המשיב הסבר שהתקבל מהמערער בדבר הלוואה מאדם בשם אבישי בן משה בסך 500,000 ₪. בן משה דיווח על הלוואה זו לפקיד השומה בהצהרת הון שהגיש, אף שהיא לא נכללה בהצהרת ההון של המ</w:t>
      </w:r>
      <w:r w:rsidR="001E6229">
        <w:rPr>
          <w:rFonts w:ascii="Arial" w:hAnsi="Arial" w:hint="cs"/>
          <w:noProof w:val="0"/>
          <w:rtl/>
        </w:rPr>
        <w:t>ערער</w:t>
      </w:r>
      <w:r>
        <w:rPr>
          <w:rFonts w:ascii="Arial" w:hAnsi="Arial" w:hint="cs"/>
          <w:noProof w:val="0"/>
          <w:rtl/>
        </w:rPr>
        <w:t>. עניין זה הוביל להכרה בסכום</w:t>
      </w:r>
      <w:r w:rsidR="008F666A">
        <w:rPr>
          <w:rFonts w:ascii="Arial" w:hAnsi="Arial" w:hint="cs"/>
          <w:noProof w:val="0"/>
          <w:rtl/>
        </w:rPr>
        <w:t xml:space="preserve"> הנ"ל כהלוואה. כמו כן</w:t>
      </w:r>
      <w:r w:rsidR="001E6229">
        <w:rPr>
          <w:rFonts w:ascii="Arial" w:hAnsi="Arial" w:hint="cs"/>
          <w:noProof w:val="0"/>
          <w:rtl/>
        </w:rPr>
        <w:t>,</w:t>
      </w:r>
      <w:r w:rsidR="008F666A">
        <w:rPr>
          <w:rFonts w:ascii="Arial" w:hAnsi="Arial" w:hint="cs"/>
          <w:noProof w:val="0"/>
          <w:rtl/>
        </w:rPr>
        <w:t xml:space="preserve"> התקבל הסברו של המערער להכנסה מחברת "שפע בפרי ארצנו" בסך 2.5 מיליון ₪, לאחר הצגת רישום חשבונאי של הכנסה זו, אשר לא נכלל בהצהרת ההון של המערער לשנת 2012. לבסוף, המשיב קיבל את הסברו של המערער לסך 50,842 ₪, אשר הושמט בטעות מתחשיב ההכנסות לשנת 2005. </w:t>
      </w:r>
    </w:p>
    <w:p w:rsidR="008F666A" w:rsidRDefault="008F666A" w:rsidP="008F666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לאור כך, נותרה</w:t>
      </w:r>
      <w:r w:rsidR="001E6229">
        <w:rPr>
          <w:rFonts w:ascii="Arial" w:hAnsi="Arial" w:hint="cs"/>
          <w:noProof w:val="0"/>
          <w:rtl/>
        </w:rPr>
        <w:t>,</w:t>
      </w:r>
      <w:r>
        <w:rPr>
          <w:rFonts w:ascii="Arial" w:hAnsi="Arial" w:hint="cs"/>
          <w:noProof w:val="0"/>
          <w:rtl/>
        </w:rPr>
        <w:t xml:space="preserve"> לטענת המשיב</w:t>
      </w:r>
      <w:r w:rsidR="001E6229">
        <w:rPr>
          <w:rFonts w:ascii="Arial" w:hAnsi="Arial" w:hint="cs"/>
          <w:noProof w:val="0"/>
          <w:rtl/>
        </w:rPr>
        <w:t>,</w:t>
      </w:r>
      <w:r>
        <w:rPr>
          <w:rFonts w:ascii="Arial" w:hAnsi="Arial" w:hint="cs"/>
          <w:noProof w:val="0"/>
          <w:rtl/>
        </w:rPr>
        <w:t xml:space="preserve"> יתרת הון בלתי מוסברת בסך 2,740,239 ₪. </w:t>
      </w:r>
    </w:p>
    <w:p w:rsidR="008F666A" w:rsidRDefault="008F666A" w:rsidP="008F666A">
      <w:pPr>
        <w:spacing w:line="360" w:lineRule="auto"/>
        <w:ind w:left="720" w:hanging="720"/>
        <w:jc w:val="both"/>
        <w:rPr>
          <w:rFonts w:ascii="Arial" w:hAnsi="Arial"/>
          <w:noProof w:val="0"/>
          <w:rtl/>
        </w:rPr>
      </w:pPr>
    </w:p>
    <w:p w:rsidR="008F666A" w:rsidRDefault="008F666A" w:rsidP="001E6229">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עוד יצוין</w:t>
      </w:r>
      <w:r w:rsidR="001E6229">
        <w:rPr>
          <w:rFonts w:ascii="Arial" w:hAnsi="Arial" w:hint="cs"/>
          <w:noProof w:val="0"/>
          <w:rtl/>
        </w:rPr>
        <w:t>,</w:t>
      </w:r>
      <w:r>
        <w:rPr>
          <w:rFonts w:ascii="Arial" w:hAnsi="Arial" w:hint="cs"/>
          <w:noProof w:val="0"/>
          <w:rtl/>
        </w:rPr>
        <w:t xml:space="preserve"> לעניין נטל ההוכחה, כי </w:t>
      </w:r>
      <w:r w:rsidR="001E6229">
        <w:rPr>
          <w:rFonts w:ascii="Arial" w:hAnsi="Arial" w:hint="cs"/>
          <w:noProof w:val="0"/>
          <w:rtl/>
        </w:rPr>
        <w:t>כ</w:t>
      </w:r>
      <w:r>
        <w:rPr>
          <w:rFonts w:ascii="Arial" w:hAnsi="Arial" w:hint="cs"/>
          <w:noProof w:val="0"/>
          <w:rtl/>
        </w:rPr>
        <w:t xml:space="preserve">אשר קיים פער בלתי מוסבר בין שתי הצהרות הון, הנישום הוא שנושא בנטל להוכיח את המקור להכנסותיו ולגידול בהון, שאם לא כן, ייחשב הגידול בהון כהכנסה לא מדווחת, החייבת בתשלום מס (ע"א 9019/16 </w:t>
      </w:r>
      <w:r>
        <w:rPr>
          <w:rFonts w:ascii="Arial" w:hAnsi="Arial" w:hint="cs"/>
          <w:b/>
          <w:bCs/>
          <w:noProof w:val="0"/>
          <w:rtl/>
        </w:rPr>
        <w:t>אוס</w:t>
      </w:r>
      <w:r w:rsidR="001E6229">
        <w:rPr>
          <w:rFonts w:ascii="Arial" w:hAnsi="Arial" w:hint="cs"/>
          <w:b/>
          <w:bCs/>
          <w:noProof w:val="0"/>
          <w:rtl/>
        </w:rPr>
        <w:t>א</w:t>
      </w:r>
      <w:r>
        <w:rPr>
          <w:rFonts w:ascii="Arial" w:hAnsi="Arial" w:hint="cs"/>
          <w:b/>
          <w:bCs/>
          <w:noProof w:val="0"/>
          <w:rtl/>
        </w:rPr>
        <w:t>מ</w:t>
      </w:r>
      <w:r w:rsidR="001E6229">
        <w:rPr>
          <w:rFonts w:ascii="Arial" w:hAnsi="Arial" w:hint="cs"/>
          <w:b/>
          <w:bCs/>
          <w:noProof w:val="0"/>
          <w:rtl/>
        </w:rPr>
        <w:t>ה</w:t>
      </w:r>
      <w:r>
        <w:rPr>
          <w:rFonts w:ascii="Arial" w:hAnsi="Arial" w:hint="cs"/>
          <w:b/>
          <w:bCs/>
          <w:noProof w:val="0"/>
          <w:rtl/>
        </w:rPr>
        <w:t xml:space="preserve"> מבאריקי נ' פקיד שומה נצרת </w:t>
      </w:r>
      <w:r>
        <w:rPr>
          <w:rFonts w:ascii="Arial" w:hAnsi="Arial" w:hint="cs"/>
          <w:noProof w:val="0"/>
          <w:rtl/>
        </w:rPr>
        <w:t xml:space="preserve">(25.3.18); ע"מ (ת"א) 50921-01-15 </w:t>
      </w:r>
      <w:r>
        <w:rPr>
          <w:rFonts w:ascii="Arial" w:hAnsi="Arial" w:hint="cs"/>
          <w:b/>
          <w:bCs/>
          <w:noProof w:val="0"/>
          <w:rtl/>
        </w:rPr>
        <w:t>יצחק קצב נ' פקיד שומה גוש דן</w:t>
      </w:r>
      <w:r w:rsidR="001E6229">
        <w:rPr>
          <w:rFonts w:ascii="Arial" w:hAnsi="Arial" w:hint="cs"/>
          <w:noProof w:val="0"/>
          <w:rtl/>
        </w:rPr>
        <w:t xml:space="preserve"> (10.4.18); ע"מ (חי'</w:t>
      </w:r>
      <w:r>
        <w:rPr>
          <w:rFonts w:ascii="Arial" w:hAnsi="Arial" w:hint="cs"/>
          <w:noProof w:val="0"/>
          <w:rtl/>
        </w:rPr>
        <w:t xml:space="preserve">) 65403-02-19 </w:t>
      </w:r>
      <w:r>
        <w:rPr>
          <w:rFonts w:ascii="Arial" w:hAnsi="Arial" w:hint="cs"/>
          <w:b/>
          <w:bCs/>
          <w:noProof w:val="0"/>
          <w:rtl/>
        </w:rPr>
        <w:t xml:space="preserve">ואפי להיאני נ' פקיד שומה חיפה </w:t>
      </w:r>
      <w:r>
        <w:rPr>
          <w:rFonts w:ascii="Arial" w:hAnsi="Arial" w:hint="cs"/>
          <w:noProof w:val="0"/>
          <w:rtl/>
        </w:rPr>
        <w:t xml:space="preserve">(16.8.21)). </w:t>
      </w:r>
    </w:p>
    <w:p w:rsidR="008F666A" w:rsidRDefault="008F666A" w:rsidP="008F666A">
      <w:pPr>
        <w:spacing w:line="360" w:lineRule="auto"/>
        <w:ind w:left="720" w:hanging="720"/>
        <w:jc w:val="both"/>
        <w:rPr>
          <w:rFonts w:ascii="Arial" w:hAnsi="Arial"/>
          <w:noProof w:val="0"/>
          <w:rtl/>
        </w:rPr>
      </w:pPr>
    </w:p>
    <w:p w:rsidR="008F666A" w:rsidRDefault="001E6229" w:rsidP="008F666A">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1E6229" w:rsidRDefault="001E6229" w:rsidP="008F666A">
      <w:pPr>
        <w:spacing w:line="360" w:lineRule="auto"/>
        <w:ind w:left="720" w:hanging="720"/>
        <w:jc w:val="both"/>
        <w:rPr>
          <w:rFonts w:ascii="Arial" w:hAnsi="Arial"/>
          <w:noProof w:val="0"/>
          <w:rtl/>
        </w:rPr>
      </w:pPr>
      <w:r w:rsidRPr="001E6229">
        <w:rPr>
          <w:rFonts w:ascii="Arial" w:hAnsi="Arial" w:hint="cs"/>
          <w:noProof w:val="0"/>
          <w:rtl/>
        </w:rPr>
        <w:t xml:space="preserve">             בשלב זה ידונו המחלוקות בין הצדדים, תוך הצגת טענותיהם </w:t>
      </w:r>
      <w:r w:rsidR="0098155B">
        <w:rPr>
          <w:rFonts w:ascii="Arial" w:hAnsi="Arial" w:hint="cs"/>
          <w:noProof w:val="0"/>
          <w:rtl/>
        </w:rPr>
        <w:t xml:space="preserve">בסוגיות שבמחלוקת </w:t>
      </w:r>
      <w:r w:rsidRPr="001E6229">
        <w:rPr>
          <w:rFonts w:ascii="Arial" w:hAnsi="Arial" w:hint="cs"/>
          <w:noProof w:val="0"/>
          <w:rtl/>
        </w:rPr>
        <w:t>והכרעה במחלוקות הנ"ל.</w:t>
      </w:r>
    </w:p>
    <w:p w:rsidR="0098155B" w:rsidRDefault="0098155B" w:rsidP="008F666A">
      <w:pPr>
        <w:spacing w:line="360" w:lineRule="auto"/>
        <w:ind w:left="720" w:hanging="720"/>
        <w:jc w:val="both"/>
        <w:rPr>
          <w:rFonts w:ascii="Arial" w:hAnsi="Arial"/>
          <w:noProof w:val="0"/>
          <w:rtl/>
        </w:rPr>
      </w:pPr>
    </w:p>
    <w:p w:rsidR="001E6229" w:rsidRPr="001E6229" w:rsidRDefault="001E6229" w:rsidP="008F666A">
      <w:pPr>
        <w:spacing w:line="360" w:lineRule="auto"/>
        <w:ind w:left="720" w:hanging="720"/>
        <w:jc w:val="both"/>
        <w:rPr>
          <w:rFonts w:ascii="Arial" w:hAnsi="Arial"/>
          <w:noProof w:val="0"/>
          <w:u w:val="single"/>
          <w:rtl/>
        </w:rPr>
      </w:pPr>
      <w:r w:rsidRPr="001E6229">
        <w:rPr>
          <w:rFonts w:ascii="Arial" w:hAnsi="Arial" w:hint="cs"/>
          <w:noProof w:val="0"/>
          <w:u w:val="single"/>
          <w:rtl/>
        </w:rPr>
        <w:t>הלוואות מחברים</w:t>
      </w:r>
    </w:p>
    <w:p w:rsidR="001E6229" w:rsidRDefault="001E6229" w:rsidP="008F666A">
      <w:pPr>
        <w:spacing w:line="360" w:lineRule="auto"/>
        <w:ind w:left="720" w:hanging="720"/>
        <w:jc w:val="both"/>
        <w:rPr>
          <w:rFonts w:ascii="Arial" w:hAnsi="Arial"/>
          <w:b/>
          <w:bCs/>
          <w:noProof w:val="0"/>
          <w:u w:val="single"/>
          <w:rtl/>
        </w:rPr>
      </w:pPr>
    </w:p>
    <w:p w:rsidR="001E6229" w:rsidRPr="008F666A" w:rsidRDefault="001E6229" w:rsidP="008F666A">
      <w:pPr>
        <w:spacing w:line="360" w:lineRule="auto"/>
        <w:ind w:left="720" w:hanging="720"/>
        <w:jc w:val="both"/>
        <w:rPr>
          <w:rFonts w:ascii="Arial" w:hAnsi="Arial"/>
          <w:b/>
          <w:bCs/>
          <w:noProof w:val="0"/>
          <w:u w:val="single"/>
          <w:rtl/>
        </w:rPr>
      </w:pPr>
    </w:p>
    <w:p w:rsidR="008F666A" w:rsidRDefault="008F666A" w:rsidP="004B1F4D">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המערער טען כי בעקבות מצוקה כלכלית של עסקיו, הוא ביקש וקיבל משלושה חברים קרובים הלוואות. כזכור, המשיב קיבל את ההסבר ביחס להלוואה מאבישי בן משה. </w:t>
      </w:r>
    </w:p>
    <w:p w:rsidR="008F666A" w:rsidRDefault="008F666A" w:rsidP="008F666A">
      <w:pPr>
        <w:spacing w:line="360" w:lineRule="auto"/>
        <w:ind w:left="720" w:hanging="720"/>
        <w:jc w:val="both"/>
        <w:rPr>
          <w:rFonts w:ascii="Arial" w:hAnsi="Arial"/>
          <w:noProof w:val="0"/>
          <w:rtl/>
        </w:rPr>
      </w:pPr>
    </w:p>
    <w:p w:rsidR="008F666A" w:rsidRDefault="008F666A" w:rsidP="0098155B">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4B1F4D">
        <w:rPr>
          <w:rFonts w:ascii="Arial" w:hAnsi="Arial" w:hint="cs"/>
          <w:noProof w:val="0"/>
          <w:rtl/>
        </w:rPr>
        <w:t>לטענת המערער, חברו אריק קצנשטיין (להלן: "</w:t>
      </w:r>
      <w:r w:rsidR="004B1F4D" w:rsidRPr="008F2785">
        <w:rPr>
          <w:rFonts w:ascii="Arial" w:hAnsi="Arial" w:hint="cs"/>
          <w:b/>
          <w:bCs/>
          <w:noProof w:val="0"/>
          <w:rtl/>
        </w:rPr>
        <w:t>קצנשטיין</w:t>
      </w:r>
      <w:r w:rsidR="004B1F4D">
        <w:rPr>
          <w:rFonts w:ascii="Arial" w:hAnsi="Arial" w:hint="cs"/>
          <w:noProof w:val="0"/>
          <w:rtl/>
        </w:rPr>
        <w:t>") הלווה לו בשנת 2011 סך של 1,000,000 ₪ וכן כי חבר</w:t>
      </w:r>
      <w:r w:rsidR="0098155B">
        <w:rPr>
          <w:rFonts w:ascii="Arial" w:hAnsi="Arial" w:hint="cs"/>
          <w:noProof w:val="0"/>
          <w:rtl/>
        </w:rPr>
        <w:t>ו</w:t>
      </w:r>
      <w:r w:rsidR="004B1F4D">
        <w:rPr>
          <w:rFonts w:ascii="Arial" w:hAnsi="Arial" w:hint="cs"/>
          <w:noProof w:val="0"/>
          <w:rtl/>
        </w:rPr>
        <w:t xml:space="preserve"> ניר גלבוע (להלן: "</w:t>
      </w:r>
      <w:r w:rsidR="004B1F4D" w:rsidRPr="008F2785">
        <w:rPr>
          <w:rFonts w:ascii="Arial" w:hAnsi="Arial" w:hint="cs"/>
          <w:b/>
          <w:bCs/>
          <w:noProof w:val="0"/>
          <w:rtl/>
        </w:rPr>
        <w:t>גלבוע</w:t>
      </w:r>
      <w:r w:rsidR="004B1F4D">
        <w:rPr>
          <w:rFonts w:ascii="Arial" w:hAnsi="Arial" w:hint="cs"/>
          <w:noProof w:val="0"/>
          <w:rtl/>
        </w:rPr>
        <w:t xml:space="preserve">") הלווה לו בשנת 2012 סך של 866,750 ₪. נטען כי המשיב בחר לקבל את הסבר המערער לגבי ההלוואה מאבישי בן משה, אך סירב באופן בלתי סביר לקבל את הסברי המערער לגבי ההלוואות מגלבוע ומקצנשטיין. </w:t>
      </w:r>
    </w:p>
    <w:p w:rsidR="004B1F4D" w:rsidRDefault="004B1F4D" w:rsidP="008F666A">
      <w:pPr>
        <w:spacing w:line="360" w:lineRule="auto"/>
        <w:ind w:left="720" w:hanging="720"/>
        <w:jc w:val="both"/>
        <w:rPr>
          <w:rFonts w:ascii="Arial" w:hAnsi="Arial"/>
          <w:noProof w:val="0"/>
          <w:rtl/>
        </w:rPr>
      </w:pPr>
    </w:p>
    <w:p w:rsidR="004B1F4D" w:rsidRDefault="004B1F4D" w:rsidP="004B1F4D">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לטענת המשיב, הוצגו העתקי שיקים משנת 2017, שלטענת המערער מעידים על החזר הלוואה לקצנשטיין וכך הוצגו אסמכתאות על העברת הכספים מגלבוע למערער בסכומים של 200,000</w:t>
      </w:r>
      <w:r w:rsidR="0098155B">
        <w:rPr>
          <w:rFonts w:ascii="Arial" w:hAnsi="Arial" w:hint="cs"/>
          <w:noProof w:val="0"/>
          <w:rtl/>
        </w:rPr>
        <w:t xml:space="preserve"> </w:t>
      </w:r>
      <w:r>
        <w:rPr>
          <w:rFonts w:ascii="Arial" w:hAnsi="Arial" w:hint="cs"/>
          <w:noProof w:val="0"/>
          <w:rtl/>
        </w:rPr>
        <w:t>ש"ח ועוד 116,750 ₪, אך לא הוצגו אסמכתאות בנוגע להחזר ההלוואה.</w:t>
      </w:r>
    </w:p>
    <w:p w:rsidR="004B1F4D" w:rsidRDefault="004B1F4D" w:rsidP="004B1F4D">
      <w:pPr>
        <w:spacing w:line="360" w:lineRule="auto"/>
        <w:ind w:left="720" w:hanging="720"/>
        <w:jc w:val="both"/>
        <w:rPr>
          <w:rFonts w:ascii="Arial" w:hAnsi="Arial"/>
          <w:noProof w:val="0"/>
          <w:rtl/>
        </w:rPr>
      </w:pPr>
    </w:p>
    <w:p w:rsidR="007800A6" w:rsidRDefault="004B1F4D" w:rsidP="00AF6FA4">
      <w:pPr>
        <w:spacing w:line="360" w:lineRule="auto"/>
        <w:ind w:left="720" w:hanging="720"/>
        <w:jc w:val="both"/>
        <w:rPr>
          <w:rFonts w:ascii="Arial" w:hAnsi="Arial"/>
          <w:noProof w:val="0"/>
          <w:rtl/>
        </w:rPr>
      </w:pPr>
      <w:r>
        <w:rPr>
          <w:rFonts w:ascii="Arial" w:hAnsi="Arial" w:hint="cs"/>
          <w:noProof w:val="0"/>
          <w:rtl/>
        </w:rPr>
        <w:t>15.</w:t>
      </w:r>
      <w:r>
        <w:rPr>
          <w:rFonts w:ascii="Arial" w:hAnsi="Arial"/>
          <w:noProof w:val="0"/>
          <w:rtl/>
        </w:rPr>
        <w:tab/>
      </w:r>
      <w:r>
        <w:rPr>
          <w:rFonts w:ascii="Arial" w:hAnsi="Arial" w:hint="cs"/>
          <w:noProof w:val="0"/>
          <w:rtl/>
        </w:rPr>
        <w:t>קיימים קשיים ניכרים בקבלת הסברי המערער בנוגע להלוואות מקצנשטיין. ראשית,</w:t>
      </w:r>
      <w:r w:rsidR="008F2785">
        <w:rPr>
          <w:rFonts w:ascii="Arial" w:hAnsi="Arial" w:hint="cs"/>
          <w:noProof w:val="0"/>
          <w:rtl/>
        </w:rPr>
        <w:t xml:space="preserve"> השיקים לגביהם נטען</w:t>
      </w:r>
      <w:r>
        <w:rPr>
          <w:rFonts w:ascii="Arial" w:hAnsi="Arial" w:hint="cs"/>
          <w:noProof w:val="0"/>
          <w:rtl/>
        </w:rPr>
        <w:t xml:space="preserve"> כי הם מעידים על החזר ההלוואה, נפרעו מחב' "אמקור אנרגיות </w:t>
      </w:r>
    </w:p>
    <w:p w:rsidR="004B1F4D" w:rsidRDefault="004B1F4D" w:rsidP="0098155B">
      <w:pPr>
        <w:spacing w:line="360" w:lineRule="auto"/>
        <w:ind w:left="720"/>
        <w:jc w:val="both"/>
        <w:rPr>
          <w:rFonts w:ascii="Arial" w:hAnsi="Arial"/>
          <w:noProof w:val="0"/>
          <w:rtl/>
        </w:rPr>
      </w:pPr>
      <w:r>
        <w:rPr>
          <w:rFonts w:ascii="Arial" w:hAnsi="Arial" w:hint="cs"/>
          <w:noProof w:val="0"/>
          <w:rtl/>
        </w:rPr>
        <w:t>סולאר" ולא מחשבונו של המערער. שנית, לא הוצג הסכם הלוואה או מסמך בכתב המעלה על הכתב את עיקרי הדברים (סכום ההלוואה, שיעור הריבית, מועדי החזר ההלוואה וכד'). שלישית, המערער הודה בחקירתו הנגדית (עמ' 26 לפרוטוקו</w:t>
      </w:r>
      <w:r w:rsidR="0098155B">
        <w:rPr>
          <w:rFonts w:ascii="Arial" w:hAnsi="Arial" w:hint="cs"/>
          <w:noProof w:val="0"/>
          <w:rtl/>
        </w:rPr>
        <w:t>ל</w:t>
      </w:r>
      <w:r w:rsidR="00AF6FA4">
        <w:rPr>
          <w:rFonts w:ascii="Arial" w:hAnsi="Arial" w:hint="cs"/>
          <w:noProof w:val="0"/>
          <w:rtl/>
        </w:rPr>
        <w:t xml:space="preserve">) כי קצנשטיין היה קשור לחברה שסיפקה </w:t>
      </w:r>
      <w:r w:rsidR="0098155B">
        <w:rPr>
          <w:rFonts w:ascii="Arial" w:hAnsi="Arial" w:hint="cs"/>
          <w:noProof w:val="0"/>
          <w:rtl/>
        </w:rPr>
        <w:t xml:space="preserve">לעסקי המערער </w:t>
      </w:r>
      <w:r w:rsidR="00AF6FA4">
        <w:rPr>
          <w:rFonts w:ascii="Arial" w:hAnsi="Arial" w:hint="cs"/>
          <w:noProof w:val="0"/>
          <w:rtl/>
        </w:rPr>
        <w:t>חומר ג</w:t>
      </w:r>
      <w:r w:rsidR="0098155B">
        <w:rPr>
          <w:rFonts w:ascii="Arial" w:hAnsi="Arial" w:hint="cs"/>
          <w:noProof w:val="0"/>
          <w:rtl/>
        </w:rPr>
        <w:t>לם (פוליאוריתן) ששימש</w:t>
      </w:r>
      <w:r w:rsidR="00AF6FA4">
        <w:rPr>
          <w:rFonts w:ascii="Arial" w:hAnsi="Arial" w:hint="cs"/>
          <w:noProof w:val="0"/>
          <w:rtl/>
        </w:rPr>
        <w:t xml:space="preserve"> לייצור ד</w:t>
      </w:r>
      <w:r w:rsidR="0098155B">
        <w:rPr>
          <w:rFonts w:ascii="Arial" w:hAnsi="Arial" w:hint="cs"/>
          <w:noProof w:val="0"/>
          <w:rtl/>
        </w:rPr>
        <w:t>ו</w:t>
      </w:r>
      <w:r w:rsidR="00AF6FA4">
        <w:rPr>
          <w:rFonts w:ascii="Arial" w:hAnsi="Arial" w:hint="cs"/>
          <w:noProof w:val="0"/>
          <w:rtl/>
        </w:rPr>
        <w:t xml:space="preserve">די שמש. </w:t>
      </w:r>
      <w:r w:rsidR="0098155B">
        <w:rPr>
          <w:rFonts w:ascii="Arial" w:hAnsi="Arial" w:hint="cs"/>
          <w:noProof w:val="0"/>
          <w:rtl/>
        </w:rPr>
        <w:t>רביעית, קצנשטיין לא הובא כעד מטעם המערער.</w:t>
      </w:r>
    </w:p>
    <w:p w:rsidR="00AF6FA4" w:rsidRDefault="00AF6FA4" w:rsidP="00AF6FA4">
      <w:pPr>
        <w:spacing w:line="360" w:lineRule="auto"/>
        <w:ind w:left="720" w:hanging="720"/>
        <w:jc w:val="both"/>
        <w:rPr>
          <w:rFonts w:ascii="Arial" w:hAnsi="Arial"/>
          <w:noProof w:val="0"/>
          <w:rtl/>
        </w:rPr>
      </w:pPr>
    </w:p>
    <w:p w:rsidR="00AF6FA4" w:rsidRDefault="0098155B" w:rsidP="0098155B">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כך גם לגבי הסברי המערער</w:t>
      </w:r>
      <w:r w:rsidR="00AF6FA4">
        <w:rPr>
          <w:rFonts w:ascii="Arial" w:hAnsi="Arial" w:hint="cs"/>
          <w:noProof w:val="0"/>
          <w:rtl/>
        </w:rPr>
        <w:t xml:space="preserve"> בנוגע להלוואה מגלבוע. ראשית, נטען כי גלבוע ביצע העברה לחברה </w:t>
      </w:r>
      <w:r>
        <w:rPr>
          <w:rFonts w:ascii="Arial" w:hAnsi="Arial" w:hint="cs"/>
          <w:noProof w:val="0"/>
          <w:rtl/>
        </w:rPr>
        <w:t xml:space="preserve">בשליטת המערער שהוצגה </w:t>
      </w:r>
      <w:r w:rsidR="00AF6FA4">
        <w:rPr>
          <w:rFonts w:ascii="Arial" w:hAnsi="Arial" w:hint="cs"/>
          <w:noProof w:val="0"/>
          <w:rtl/>
        </w:rPr>
        <w:t xml:space="preserve">כהלוואה למערער, מבלי שהוסבר מדוע נעשה הדבר באמצעות החברה. שנית, המערער הודה בחקירתו הנגדית (עמ' 23 לפרוטוקול) כי גלבוע רכש ממנו חברה בבעלותו ובשלב מסוים היו שניהם בעלי המניות בחברה. שלישית, לא הוצג הסכם הלוואה או מסמך אחר המעיד על סכום ההלוואה, מועד ההחזר ושיעור הריבית. רביעית, גלבוע לא זומן למתן עדות בשלב ההוכחות. </w:t>
      </w:r>
    </w:p>
    <w:p w:rsidR="00AF6FA4" w:rsidRDefault="00AF6FA4" w:rsidP="00AF6FA4">
      <w:pPr>
        <w:spacing w:line="360" w:lineRule="auto"/>
        <w:ind w:left="720" w:hanging="720"/>
        <w:jc w:val="both"/>
        <w:rPr>
          <w:rFonts w:ascii="Arial" w:hAnsi="Arial"/>
          <w:noProof w:val="0"/>
          <w:rtl/>
        </w:rPr>
      </w:pPr>
    </w:p>
    <w:p w:rsidR="00AF6FA4" w:rsidRDefault="00AF6FA4" w:rsidP="0098155B">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ביחס להלוואות </w:t>
      </w:r>
      <w:r w:rsidR="0098155B">
        <w:rPr>
          <w:rFonts w:ascii="Arial" w:hAnsi="Arial" w:hint="cs"/>
          <w:noProof w:val="0"/>
          <w:rtl/>
        </w:rPr>
        <w:t>הנטענות מ</w:t>
      </w:r>
      <w:r>
        <w:rPr>
          <w:rFonts w:ascii="Arial" w:hAnsi="Arial" w:hint="cs"/>
          <w:noProof w:val="0"/>
          <w:rtl/>
        </w:rPr>
        <w:t>שני חבריו של המערער (גלבוע וקצנשטיין) חל הכלל כי טענה בדבר מתנה מ</w:t>
      </w:r>
      <w:r w:rsidR="0098155B">
        <w:rPr>
          <w:rFonts w:ascii="Arial" w:hAnsi="Arial" w:hint="cs"/>
          <w:noProof w:val="0"/>
          <w:rtl/>
        </w:rPr>
        <w:t>חבר קרוב נושאת עמה נטל הוכחה כבד</w:t>
      </w:r>
      <w:r>
        <w:rPr>
          <w:rFonts w:ascii="Arial" w:hAnsi="Arial" w:hint="cs"/>
          <w:noProof w:val="0"/>
          <w:rtl/>
        </w:rPr>
        <w:t xml:space="preserve"> מהרגיל (ע"מ (מרכז) 4347-02-12 </w:t>
      </w:r>
      <w:r>
        <w:rPr>
          <w:rFonts w:ascii="Arial" w:hAnsi="Arial" w:hint="cs"/>
          <w:b/>
          <w:bCs/>
          <w:noProof w:val="0"/>
          <w:rtl/>
        </w:rPr>
        <w:t>יצחק דגן נ' פקיד שומה כפר סבא</w:t>
      </w:r>
      <w:r>
        <w:rPr>
          <w:rFonts w:ascii="Arial" w:hAnsi="Arial" w:hint="cs"/>
          <w:noProof w:val="0"/>
          <w:rtl/>
        </w:rPr>
        <w:t xml:space="preserve"> (28.8.15). לאור האמור ולנוכח העובדות שצוינו לעיל, היה על המערער להוכיח כי קבלת הכספים כהלוואה לא הייתה חלק ממהלך העסקים של המערער, באמצעות החברות בשליטתו, להבדיל מהלוואה אישית. </w:t>
      </w:r>
    </w:p>
    <w:p w:rsidR="00AF6FA4" w:rsidRDefault="00AF6FA4" w:rsidP="00AF6FA4">
      <w:pPr>
        <w:spacing w:line="360" w:lineRule="auto"/>
        <w:ind w:left="720" w:hanging="720"/>
        <w:jc w:val="both"/>
        <w:rPr>
          <w:rFonts w:ascii="Arial" w:hAnsi="Arial"/>
          <w:noProof w:val="0"/>
          <w:rtl/>
        </w:rPr>
      </w:pPr>
    </w:p>
    <w:p w:rsidR="008A63A0" w:rsidRPr="0098155B" w:rsidRDefault="00AF6FA4" w:rsidP="0098155B">
      <w:pPr>
        <w:spacing w:line="360" w:lineRule="auto"/>
        <w:ind w:left="720" w:hanging="720"/>
        <w:jc w:val="both"/>
        <w:rPr>
          <w:rFonts w:ascii="Arial" w:hAnsi="Arial"/>
          <w:noProof w:val="0"/>
        </w:rPr>
      </w:pPr>
      <w:r>
        <w:rPr>
          <w:rFonts w:ascii="Arial" w:hAnsi="Arial" w:hint="cs"/>
          <w:noProof w:val="0"/>
          <w:rtl/>
        </w:rPr>
        <w:t>18.</w:t>
      </w:r>
      <w:r>
        <w:rPr>
          <w:rFonts w:ascii="Arial" w:hAnsi="Arial" w:hint="cs"/>
          <w:noProof w:val="0"/>
          <w:rtl/>
        </w:rPr>
        <w:tab/>
        <w:t xml:space="preserve">ביחס להלוואת הנטענות מגלבוע ומקצנשטיין חל הכלל כי אי הבאת עד רלבנטי מעוררת חשד כי בעל הדין שנמנע מהבאתו, חשש מעדותו ומחשיפתו לחקירה נגדית. </w:t>
      </w:r>
      <w:r w:rsidR="008A63A0" w:rsidRPr="0098155B">
        <w:rPr>
          <w:rFonts w:ascii="Arial" w:hAnsi="Arial"/>
          <w:noProof w:val="0"/>
          <w:rtl/>
        </w:rPr>
        <w:t>יפים לענייננו דברי כבוד השופט מ' חשין ב</w:t>
      </w:r>
      <w:r w:rsidR="008A63A0" w:rsidRPr="0098155B">
        <w:rPr>
          <w:color w:val="000000"/>
          <w:rtl/>
        </w:rPr>
        <w:t>ע"א 2275/90 </w:t>
      </w:r>
      <w:r w:rsidR="008A63A0" w:rsidRPr="0098155B">
        <w:rPr>
          <w:b/>
          <w:bCs/>
          <w:color w:val="000000"/>
          <w:rtl/>
        </w:rPr>
        <w:t xml:space="preserve">לימה חברה ישראלית לתעשיות כימיות בע"מ נ' פרץ רוזנברג </w:t>
      </w:r>
      <w:r w:rsidR="008A63A0" w:rsidRPr="0098155B">
        <w:rPr>
          <w:color w:val="000000"/>
          <w:rtl/>
        </w:rPr>
        <w:t>(1993)</w:t>
      </w:r>
      <w:r w:rsidR="008A63A0" w:rsidRPr="0098155B">
        <w:rPr>
          <w:b/>
          <w:bCs/>
          <w:color w:val="000000"/>
          <w:rtl/>
        </w:rPr>
        <w:t xml:space="preserve">, </w:t>
      </w:r>
      <w:r w:rsidR="008A63A0" w:rsidRPr="0098155B">
        <w:rPr>
          <w:color w:val="000000"/>
          <w:rtl/>
        </w:rPr>
        <w:t>פ"ד</w:t>
      </w:r>
      <w:r w:rsidR="008A63A0" w:rsidRPr="0098155B">
        <w:rPr>
          <w:b/>
          <w:bCs/>
          <w:color w:val="000000"/>
          <w:rtl/>
        </w:rPr>
        <w:t xml:space="preserve"> </w:t>
      </w:r>
      <w:r w:rsidR="008A63A0" w:rsidRPr="0098155B">
        <w:rPr>
          <w:color w:val="000000"/>
          <w:rtl/>
        </w:rPr>
        <w:t>מז(2) 605, פסקה 14 לפסק דינו</w:t>
      </w:r>
      <w:r w:rsidR="0098155B">
        <w:rPr>
          <w:rFonts w:hint="cs"/>
          <w:color w:val="000000"/>
          <w:rtl/>
        </w:rPr>
        <w:t>:</w:t>
      </w:r>
      <w:r w:rsidR="008A63A0" w:rsidRPr="0098155B">
        <w:rPr>
          <w:color w:val="000000"/>
          <w:rtl/>
        </w:rPr>
        <w:t xml:space="preserve"> </w:t>
      </w:r>
    </w:p>
    <w:p w:rsidR="008A63A0" w:rsidRPr="008A63A0" w:rsidRDefault="008A63A0" w:rsidP="008A63A0">
      <w:pPr>
        <w:pStyle w:val="ad"/>
        <w:rPr>
          <w:rFonts w:ascii="Arial" w:hAnsi="Arial"/>
          <w:noProof w:val="0"/>
          <w:sz w:val="16"/>
          <w:szCs w:val="16"/>
          <w:rtl/>
        </w:rPr>
      </w:pPr>
    </w:p>
    <w:p w:rsidR="008A63A0" w:rsidRDefault="008A63A0" w:rsidP="008A63A0">
      <w:pPr>
        <w:pStyle w:val="ad"/>
        <w:spacing w:line="360" w:lineRule="auto"/>
        <w:jc w:val="both"/>
        <w:rPr>
          <w:rFonts w:ascii="Arial" w:hAnsi="Arial"/>
          <w:noProof w:val="0"/>
        </w:rPr>
      </w:pPr>
    </w:p>
    <w:p w:rsidR="008A63A0" w:rsidRDefault="008A63A0" w:rsidP="008A63A0">
      <w:pPr>
        <w:pStyle w:val="ad"/>
        <w:spacing w:line="360" w:lineRule="auto"/>
        <w:ind w:left="1701" w:right="1134"/>
        <w:jc w:val="both"/>
        <w:rPr>
          <w:rFonts w:ascii="Calibri" w:eastAsia="Calibri" w:hAnsi="Calibri" w:cs="Calibri"/>
          <w:noProof w:val="0"/>
          <w:rtl/>
        </w:rPr>
      </w:pPr>
      <w:r>
        <w:rPr>
          <w:b/>
          <w:bCs/>
          <w:color w:val="000000"/>
          <w:rtl/>
        </w:rPr>
        <w:t xml:space="preserve">"14. סבבנו הלכנו והגענו לנקודת המוצא: (...). כך (ה)דין אף במקום שצד למשפט נמנע מהעיד עד פלוני, שעה שבנסיבות העניין היה מקום להעידו. ובדברי השופט גולדברג בע"א 465/88 הבנק למימון ולסחר בע"מ נ' מתתיהו ואח' [6], בעמ' 658 : "אי-הבאתו של עד רלוואנטי מעוררת, מדרך הטבע, את החשד, כי יש דברים בגו וכי בעל הדין, שנמנע מהבאתו, חושש מעדותו ומחשיפתו </w:t>
      </w:r>
      <w:r>
        <w:rPr>
          <w:b/>
          <w:bCs/>
          <w:color w:val="000000"/>
          <w:rtl/>
        </w:rPr>
        <w:lastRenderedPageBreak/>
        <w:t>לחקירה שכנגד".</w:t>
      </w:r>
      <w:r>
        <w:rPr>
          <w:color w:val="000000"/>
          <w:rtl/>
        </w:rPr>
        <w:t xml:space="preserve"> </w:t>
      </w:r>
      <w:r>
        <w:rPr>
          <w:b/>
          <w:bCs/>
          <w:color w:val="000000"/>
          <w:rtl/>
        </w:rPr>
        <w:t>(...). וכן הם דבריה של השופטת בן</w:t>
      </w:r>
      <w:r>
        <w:rPr>
          <w:b/>
          <w:bCs/>
          <w:color w:val="000000"/>
          <w:rtl/>
        </w:rPr>
        <w:softHyphen/>
        <w:t xml:space="preserve"> עתו בע"א 548/78 אלמונית ואח' נ' פלוני [7], בעמ' 760:</w:t>
      </w:r>
      <w:r>
        <w:rPr>
          <w:color w:val="000000"/>
          <w:rtl/>
        </w:rPr>
        <w:t xml:space="preserve"> </w:t>
      </w:r>
      <w:r>
        <w:rPr>
          <w:b/>
          <w:bCs/>
          <w:color w:val="000000"/>
          <w:rtl/>
        </w:rPr>
        <w:t>"...כלל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שאילו הובאה הראיה, הייתה פועלת נגדו. כלל זה מקובל 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w:t>
      </w:r>
      <w:r>
        <w:rPr>
          <w:b/>
          <w:bCs/>
          <w:color w:val="000000"/>
        </w:rPr>
        <w:t>."</w:t>
      </w:r>
    </w:p>
    <w:p w:rsidR="008A63A0" w:rsidRDefault="008A63A0" w:rsidP="008A63A0">
      <w:pPr>
        <w:spacing w:line="360" w:lineRule="auto"/>
        <w:ind w:left="1701" w:right="1134"/>
        <w:jc w:val="both"/>
        <w:rPr>
          <w:rFonts w:ascii="Arial" w:hAnsi="Arial"/>
          <w:noProof w:val="0"/>
          <w:sz w:val="16"/>
          <w:szCs w:val="16"/>
          <w:rtl/>
        </w:rPr>
      </w:pPr>
    </w:p>
    <w:p w:rsidR="008A63A0" w:rsidRDefault="008A63A0" w:rsidP="008A63A0">
      <w:pPr>
        <w:spacing w:line="360" w:lineRule="auto"/>
        <w:ind w:left="720"/>
        <w:jc w:val="both"/>
        <w:rPr>
          <w:rFonts w:ascii="Calibri" w:eastAsia="Calibri" w:hAnsi="Calibri" w:cs="Calibri"/>
          <w:noProof w:val="0"/>
          <w:sz w:val="22"/>
          <w:szCs w:val="22"/>
          <w:rtl/>
        </w:rPr>
      </w:pPr>
      <w:r>
        <w:rPr>
          <w:rFonts w:ascii="Arial" w:hAnsi="Arial"/>
          <w:noProof w:val="0"/>
          <w:rtl/>
        </w:rPr>
        <w:t xml:space="preserve">ראו עוד: </w:t>
      </w:r>
      <w:r>
        <w:rPr>
          <w:rFonts w:ascii="David" w:eastAsia="Calibri" w:hAnsi="David"/>
          <w:noProof w:val="0"/>
          <w:color w:val="000000"/>
          <w:rtl/>
        </w:rPr>
        <w:t xml:space="preserve">ע"א 256/17 </w:t>
      </w:r>
      <w:r>
        <w:rPr>
          <w:rFonts w:ascii="David" w:eastAsia="Calibri" w:hAnsi="David"/>
          <w:b/>
          <w:bCs/>
          <w:noProof w:val="0"/>
          <w:color w:val="000000"/>
          <w:rtl/>
        </w:rPr>
        <w:t>הרשקוביץ שי נ' מדינת ישראל - רשות המיסים, אגף המכס והמע"מ</w:t>
      </w:r>
      <w:r>
        <w:rPr>
          <w:rFonts w:ascii="David" w:eastAsia="Calibri" w:hAnsi="David"/>
          <w:noProof w:val="0"/>
          <w:color w:val="000000"/>
          <w:rtl/>
        </w:rPr>
        <w:t xml:space="preserve">, פסקה 15 לפסק דינו של השופט ד' מינץ (18.08.2019); </w:t>
      </w:r>
      <w:r>
        <w:rPr>
          <w:color w:val="000000"/>
          <w:rtl/>
        </w:rPr>
        <w:t xml:space="preserve">ע"א 8294/14 </w:t>
      </w:r>
      <w:r>
        <w:rPr>
          <w:b/>
          <w:bCs/>
          <w:color w:val="000000"/>
          <w:rtl/>
        </w:rPr>
        <w:t>רוני גנגינה נ' פקיד שומה פתח תקוה</w:t>
      </w:r>
      <w:r>
        <w:rPr>
          <w:color w:val="000000"/>
          <w:rtl/>
        </w:rPr>
        <w:t>, פסקה 24 לפסק דינו של השופט י' עמית (20.03.2018)</w:t>
      </w:r>
      <w:r>
        <w:rPr>
          <w:color w:val="000000"/>
          <w:sz w:val="27"/>
          <w:szCs w:val="27"/>
          <w:rtl/>
        </w:rPr>
        <w:t xml:space="preserve">; </w:t>
      </w:r>
    </w:p>
    <w:p w:rsidR="008A63A0" w:rsidRDefault="008A63A0">
      <w:pPr>
        <w:spacing w:line="360" w:lineRule="auto"/>
        <w:jc w:val="both"/>
        <w:rPr>
          <w:rFonts w:ascii="Arial" w:hAnsi="Arial"/>
          <w:noProof w:val="0"/>
          <w:rtl/>
        </w:rPr>
      </w:pPr>
    </w:p>
    <w:p w:rsidR="008A63A0" w:rsidRDefault="008A63A0" w:rsidP="008A63A0">
      <w:pPr>
        <w:spacing w:line="360" w:lineRule="auto"/>
        <w:ind w:left="720"/>
        <w:jc w:val="both"/>
        <w:rPr>
          <w:rFonts w:ascii="Arial" w:hAnsi="Arial"/>
          <w:noProof w:val="0"/>
          <w:rtl/>
        </w:rPr>
      </w:pPr>
      <w:r>
        <w:rPr>
          <w:rFonts w:ascii="Arial" w:hAnsi="Arial" w:hint="cs"/>
          <w:noProof w:val="0"/>
          <w:rtl/>
        </w:rPr>
        <w:t>במקרה זה לא ניתנו הסברים משכנעים לאי זימון קצנשטיין וגלבוע למתן עדות, ומכאן המסקנה שההימנעות מזימונם פועלת לחובת המערער. בהקשר זה טען המערער בסיכומיו כי המשיב התנגד לבקשתו להגיש תצהיר מטעם גלבוע ואסמכתאות הנוגעות להמחאות באמצעותן נפרעו ההלוואות. בסוגיה זו ניתנה ביום 16.10.21 החלטתי</w:t>
      </w:r>
      <w:r w:rsidR="00B2334F">
        <w:rPr>
          <w:rFonts w:ascii="Arial" w:hAnsi="Arial" w:hint="cs"/>
          <w:noProof w:val="0"/>
          <w:rtl/>
        </w:rPr>
        <w:t>,</w:t>
      </w:r>
      <w:r>
        <w:rPr>
          <w:rFonts w:ascii="Arial" w:hAnsi="Arial" w:hint="cs"/>
          <w:noProof w:val="0"/>
          <w:rtl/>
        </w:rPr>
        <w:t xml:space="preserve"> במסגרתה נדחתה הבקשה מיום 10.8.21 לצירוף ראיות חדשות, הן עקב אי הצגתן בהליכי השומה והן לאור העיתוי המאוחר </w:t>
      </w:r>
      <w:r w:rsidR="00B2334F">
        <w:rPr>
          <w:rFonts w:ascii="Arial" w:hAnsi="Arial" w:hint="cs"/>
          <w:noProof w:val="0"/>
          <w:rtl/>
        </w:rPr>
        <w:t xml:space="preserve">מאד </w:t>
      </w:r>
      <w:r>
        <w:rPr>
          <w:rFonts w:ascii="Arial" w:hAnsi="Arial" w:hint="cs"/>
          <w:noProof w:val="0"/>
          <w:rtl/>
        </w:rPr>
        <w:t xml:space="preserve">של הגשת הבקשה. </w:t>
      </w:r>
    </w:p>
    <w:p w:rsidR="008A63A0" w:rsidRDefault="008A63A0" w:rsidP="008A63A0">
      <w:pPr>
        <w:spacing w:line="360" w:lineRule="auto"/>
        <w:jc w:val="both"/>
        <w:rPr>
          <w:rFonts w:ascii="Arial" w:hAnsi="Arial"/>
          <w:noProof w:val="0"/>
          <w:rtl/>
        </w:rPr>
      </w:pPr>
    </w:p>
    <w:p w:rsidR="008A63A0" w:rsidRDefault="008A63A0" w:rsidP="00FA7D94">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בנוגע לטענה כי לא ניתן הסבר להחלטת המשיב </w:t>
      </w:r>
      <w:r w:rsidR="00FA7D94">
        <w:rPr>
          <w:rFonts w:ascii="Arial" w:hAnsi="Arial" w:hint="cs"/>
          <w:noProof w:val="0"/>
          <w:rtl/>
        </w:rPr>
        <w:t xml:space="preserve">(אשר </w:t>
      </w:r>
      <w:r>
        <w:rPr>
          <w:rFonts w:ascii="Arial" w:hAnsi="Arial" w:hint="cs"/>
          <w:noProof w:val="0"/>
          <w:rtl/>
        </w:rPr>
        <w:t>הכיר ב</w:t>
      </w:r>
      <w:r w:rsidR="009B2D56">
        <w:rPr>
          <w:rFonts w:ascii="Arial" w:hAnsi="Arial" w:hint="cs"/>
          <w:noProof w:val="0"/>
          <w:rtl/>
        </w:rPr>
        <w:t>הלוואה מאבישי בן משה</w:t>
      </w:r>
      <w:r w:rsidR="00FA7D94">
        <w:rPr>
          <w:rFonts w:ascii="Arial" w:hAnsi="Arial" w:hint="cs"/>
          <w:noProof w:val="0"/>
          <w:rtl/>
        </w:rPr>
        <w:t>)</w:t>
      </w:r>
      <w:r w:rsidR="009B2D56">
        <w:rPr>
          <w:rFonts w:ascii="Arial" w:hAnsi="Arial" w:hint="cs"/>
          <w:noProof w:val="0"/>
          <w:rtl/>
        </w:rPr>
        <w:t xml:space="preserve">, </w:t>
      </w:r>
      <w:r w:rsidR="00FA7D94">
        <w:rPr>
          <w:rFonts w:ascii="Arial" w:hAnsi="Arial" w:hint="cs"/>
          <w:noProof w:val="0"/>
          <w:rtl/>
        </w:rPr>
        <w:t>ש</w:t>
      </w:r>
      <w:r w:rsidR="009B2D56">
        <w:rPr>
          <w:rFonts w:ascii="Arial" w:hAnsi="Arial" w:hint="cs"/>
          <w:noProof w:val="0"/>
          <w:rtl/>
        </w:rPr>
        <w:t xml:space="preserve">לא להכיר בהלוואות מגלבוע וקצנשטיין, הרי שאין מקום לקבלתה. ההסבר שניתן מטעם המשיב, לפיו אצל בן משה נרשמה ההלוואה ואף דווחה על ידו לרשות המיסים בהצהרת ההון שלו, להבדיל מגלבוע וקצנשטיין, הינו סביר ולא מצאתי שיש בו פגם המצדיק את ההכרה בהלוואות הנטענות מטעם גלבוע וקצנשטיין. </w:t>
      </w:r>
    </w:p>
    <w:p w:rsidR="009B2D56" w:rsidRDefault="009B2D56" w:rsidP="009B2D56">
      <w:pPr>
        <w:spacing w:line="360" w:lineRule="auto"/>
        <w:ind w:left="720" w:hanging="720"/>
        <w:jc w:val="both"/>
        <w:rPr>
          <w:rFonts w:ascii="Arial" w:hAnsi="Arial"/>
          <w:noProof w:val="0"/>
          <w:rtl/>
        </w:rPr>
      </w:pPr>
    </w:p>
    <w:p w:rsidR="009B2D56" w:rsidRDefault="009B2D56" w:rsidP="009B2D56">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r>
      <w:r w:rsidRPr="00FA7D94">
        <w:rPr>
          <w:rFonts w:ascii="Arial" w:hAnsi="Arial" w:hint="cs"/>
          <w:noProof w:val="0"/>
          <w:u w:val="single"/>
          <w:rtl/>
        </w:rPr>
        <w:t>סיכום ביניים</w:t>
      </w:r>
      <w:r>
        <w:rPr>
          <w:rFonts w:ascii="Arial" w:hAnsi="Arial" w:hint="cs"/>
          <w:noProof w:val="0"/>
          <w:rtl/>
        </w:rPr>
        <w:t>: לאור כל האמור לעיל, לא מצאתי כי יש מקום להתערב בהחלטת ה</w:t>
      </w:r>
      <w:r w:rsidR="00FA7D94">
        <w:rPr>
          <w:rFonts w:ascii="Arial" w:hAnsi="Arial" w:hint="cs"/>
          <w:noProof w:val="0"/>
          <w:rtl/>
        </w:rPr>
        <w:t>משיב שלא להכיר בהלוואות הנטענות, שכן</w:t>
      </w:r>
      <w:r>
        <w:rPr>
          <w:rFonts w:ascii="Arial" w:hAnsi="Arial" w:hint="cs"/>
          <w:noProof w:val="0"/>
          <w:rtl/>
        </w:rPr>
        <w:t xml:space="preserve"> לא עלה בידי המערער לעמוד בנטל ההוכחה המוטל עליו, לצורך הוכחת קבלת ההלוואות</w:t>
      </w:r>
      <w:r w:rsidR="00FA7D94">
        <w:rPr>
          <w:rFonts w:ascii="Arial" w:hAnsi="Arial" w:hint="cs"/>
          <w:noProof w:val="0"/>
          <w:rtl/>
        </w:rPr>
        <w:t xml:space="preserve">. </w:t>
      </w:r>
    </w:p>
    <w:p w:rsidR="009B2D56" w:rsidRDefault="009B2D56" w:rsidP="009B2D56">
      <w:pPr>
        <w:spacing w:line="360" w:lineRule="auto"/>
        <w:ind w:left="720" w:hanging="720"/>
        <w:jc w:val="both"/>
        <w:rPr>
          <w:rFonts w:ascii="Arial" w:hAnsi="Arial"/>
          <w:noProof w:val="0"/>
          <w:rtl/>
        </w:rPr>
      </w:pPr>
    </w:p>
    <w:p w:rsidR="009B2D56" w:rsidRPr="00FA7D94" w:rsidRDefault="009B2D56" w:rsidP="009B2D56">
      <w:pPr>
        <w:spacing w:line="360" w:lineRule="auto"/>
        <w:ind w:left="720" w:hanging="720"/>
        <w:jc w:val="both"/>
        <w:rPr>
          <w:rFonts w:ascii="Arial" w:hAnsi="Arial"/>
          <w:noProof w:val="0"/>
          <w:u w:val="single"/>
          <w:rtl/>
        </w:rPr>
      </w:pPr>
      <w:r w:rsidRPr="00FA7D94">
        <w:rPr>
          <w:rFonts w:ascii="Arial" w:hAnsi="Arial" w:hint="cs"/>
          <w:noProof w:val="0"/>
          <w:u w:val="single"/>
          <w:rtl/>
        </w:rPr>
        <w:t>הגדלת שווי יתרת המערער בשותפות</w:t>
      </w:r>
    </w:p>
    <w:p w:rsidR="008A63A0" w:rsidRDefault="009B2D56" w:rsidP="00FA7D94">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מדובר בשותפות בחלקים שווים בין </w:t>
      </w:r>
      <w:r w:rsidR="00FA7D94">
        <w:rPr>
          <w:rFonts w:ascii="Arial" w:hAnsi="Arial" w:hint="cs"/>
          <w:noProof w:val="0"/>
          <w:rtl/>
        </w:rPr>
        <w:t>ה</w:t>
      </w:r>
      <w:r>
        <w:rPr>
          <w:rFonts w:ascii="Arial" w:hAnsi="Arial" w:hint="cs"/>
          <w:noProof w:val="0"/>
          <w:rtl/>
        </w:rPr>
        <w:t xml:space="preserve">מערער ובין שותפו </w:t>
      </w:r>
      <w:r>
        <w:rPr>
          <w:rFonts w:ascii="Arial" w:hAnsi="Arial"/>
          <w:noProof w:val="0"/>
          <w:rtl/>
        </w:rPr>
        <w:t>–</w:t>
      </w:r>
      <w:r>
        <w:rPr>
          <w:rFonts w:ascii="Arial" w:hAnsi="Arial" w:hint="cs"/>
          <w:noProof w:val="0"/>
          <w:rtl/>
        </w:rPr>
        <w:t xml:space="preserve"> שמעון מארק (להלן: "</w:t>
      </w:r>
      <w:r w:rsidRPr="007800A6">
        <w:rPr>
          <w:rFonts w:ascii="Arial" w:hAnsi="Arial" w:hint="cs"/>
          <w:b/>
          <w:bCs/>
          <w:noProof w:val="0"/>
          <w:rtl/>
        </w:rPr>
        <w:t>מאר</w:t>
      </w:r>
      <w:r w:rsidR="00FA7D94">
        <w:rPr>
          <w:rFonts w:ascii="Arial" w:hAnsi="Arial" w:hint="cs"/>
          <w:b/>
          <w:bCs/>
          <w:noProof w:val="0"/>
          <w:rtl/>
        </w:rPr>
        <w:t>ק</w:t>
      </w:r>
      <w:r>
        <w:rPr>
          <w:rFonts w:ascii="Arial" w:hAnsi="Arial" w:hint="cs"/>
          <w:noProof w:val="0"/>
          <w:rtl/>
        </w:rPr>
        <w:t>"), אשר רכשה בשנת 2006 נכס ברחוב המלך ג'ורג' בירושלים (להלן: "</w:t>
      </w:r>
      <w:r w:rsidRPr="007800A6">
        <w:rPr>
          <w:rFonts w:ascii="Arial" w:hAnsi="Arial" w:hint="cs"/>
          <w:b/>
          <w:bCs/>
          <w:noProof w:val="0"/>
          <w:rtl/>
        </w:rPr>
        <w:t>הנכס</w:t>
      </w:r>
      <w:r>
        <w:rPr>
          <w:rFonts w:ascii="Arial" w:hAnsi="Arial" w:hint="cs"/>
          <w:noProof w:val="0"/>
          <w:rtl/>
        </w:rPr>
        <w:t xml:space="preserve">"). לאחר רכישת </w:t>
      </w:r>
      <w:r>
        <w:rPr>
          <w:rFonts w:ascii="Arial" w:hAnsi="Arial" w:hint="cs"/>
          <w:noProof w:val="0"/>
          <w:rtl/>
        </w:rPr>
        <w:lastRenderedPageBreak/>
        <w:t>הנכס (בין היתר, באמצעות הלוואה מובטחת במשכנתא), השקיעו המערער ושותפו בשיפור הנכס ובשיפוצו. ב</w:t>
      </w:r>
      <w:r w:rsidR="00FA7D94">
        <w:rPr>
          <w:rFonts w:ascii="Arial" w:hAnsi="Arial" w:hint="cs"/>
          <w:noProof w:val="0"/>
          <w:rtl/>
        </w:rPr>
        <w:t>ש</w:t>
      </w:r>
      <w:r>
        <w:rPr>
          <w:rFonts w:ascii="Arial" w:hAnsi="Arial" w:hint="cs"/>
          <w:noProof w:val="0"/>
          <w:rtl/>
        </w:rPr>
        <w:t xml:space="preserve">ל קשיים תזרימיים אליהם נקלע המערער  החליט הבנק המלווה </w:t>
      </w:r>
      <w:r w:rsidR="00FA7D94">
        <w:rPr>
          <w:rFonts w:ascii="Arial" w:hAnsi="Arial" w:hint="cs"/>
          <w:noProof w:val="0"/>
          <w:rtl/>
        </w:rPr>
        <w:t>בשנת 2014 לממש את הנכס.</w:t>
      </w:r>
    </w:p>
    <w:p w:rsidR="009B2D56" w:rsidRDefault="009B2D56" w:rsidP="009B2D56">
      <w:pPr>
        <w:spacing w:line="360" w:lineRule="auto"/>
        <w:jc w:val="both"/>
        <w:rPr>
          <w:rFonts w:ascii="Arial" w:hAnsi="Arial"/>
          <w:noProof w:val="0"/>
          <w:rtl/>
        </w:rPr>
      </w:pPr>
    </w:p>
    <w:p w:rsidR="009B2D56" w:rsidRDefault="009B2D56" w:rsidP="005B576E">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לטענת המערער</w:t>
      </w:r>
      <w:r w:rsidR="00FA7D94">
        <w:rPr>
          <w:rFonts w:ascii="Arial" w:hAnsi="Arial" w:hint="cs"/>
          <w:noProof w:val="0"/>
          <w:rtl/>
        </w:rPr>
        <w:t>,</w:t>
      </w:r>
      <w:r w:rsidR="009A1709">
        <w:rPr>
          <w:rFonts w:ascii="Arial" w:hAnsi="Arial" w:hint="cs"/>
          <w:noProof w:val="0"/>
          <w:rtl/>
        </w:rPr>
        <w:t xml:space="preserve"> ההשקעות של שותפו ושלו בנכס נעשו בהתאם לתזרים של כל אחד מהם, כך שבמועד הרכישה שילם מארק סכום גדול יותר מאשר המערע</w:t>
      </w:r>
      <w:r w:rsidR="00FA7D94">
        <w:rPr>
          <w:rFonts w:ascii="Arial" w:hAnsi="Arial" w:hint="cs"/>
          <w:noProof w:val="0"/>
          <w:rtl/>
        </w:rPr>
        <w:t>ר, לצורך השלמת ההון העצמי הדרוש</w:t>
      </w:r>
      <w:r w:rsidR="009A1709">
        <w:rPr>
          <w:rFonts w:ascii="Arial" w:hAnsi="Arial" w:hint="cs"/>
          <w:noProof w:val="0"/>
          <w:rtl/>
        </w:rPr>
        <w:t xml:space="preserve"> </w:t>
      </w:r>
      <w:r w:rsidR="005B576E">
        <w:rPr>
          <w:rFonts w:ascii="Arial" w:hAnsi="Arial" w:hint="cs"/>
          <w:noProof w:val="0"/>
          <w:rtl/>
        </w:rPr>
        <w:t>ו</w:t>
      </w:r>
      <w:r w:rsidR="009A1709">
        <w:rPr>
          <w:rFonts w:ascii="Arial" w:hAnsi="Arial" w:hint="cs"/>
          <w:noProof w:val="0"/>
          <w:rtl/>
        </w:rPr>
        <w:t>בהמשך, המערער שילם במהלך שנת 2013</w:t>
      </w:r>
      <w:r w:rsidR="005B576E">
        <w:rPr>
          <w:rFonts w:ascii="Arial" w:hAnsi="Arial" w:hint="cs"/>
          <w:noProof w:val="0"/>
          <w:rtl/>
        </w:rPr>
        <w:t xml:space="preserve"> </w:t>
      </w:r>
      <w:r w:rsidR="009A1709">
        <w:rPr>
          <w:rFonts w:ascii="Arial" w:hAnsi="Arial" w:hint="cs"/>
          <w:noProof w:val="0"/>
          <w:rtl/>
        </w:rPr>
        <w:t>עבור שיפוצים בנכס. נטען כי ההתחשבנות הסופית הייתה לאחר מ</w:t>
      </w:r>
      <w:r w:rsidR="005B576E">
        <w:rPr>
          <w:rFonts w:ascii="Arial" w:hAnsi="Arial" w:hint="cs"/>
          <w:noProof w:val="0"/>
          <w:rtl/>
        </w:rPr>
        <w:t xml:space="preserve">כירת החנות </w:t>
      </w:r>
      <w:r w:rsidR="009003AA">
        <w:rPr>
          <w:rFonts w:ascii="Arial" w:hAnsi="Arial" w:hint="cs"/>
          <w:noProof w:val="0"/>
          <w:rtl/>
        </w:rPr>
        <w:t xml:space="preserve">האחרונה שנמכרה, במסגרתה קיבל מארק את התמורה, כחלק מההתחשבנות בין השותפים. </w:t>
      </w:r>
    </w:p>
    <w:p w:rsidR="009003AA" w:rsidRDefault="009003AA" w:rsidP="009003AA">
      <w:pPr>
        <w:spacing w:line="360" w:lineRule="auto"/>
        <w:ind w:left="720" w:hanging="720"/>
        <w:jc w:val="both"/>
        <w:rPr>
          <w:rFonts w:ascii="Arial" w:hAnsi="Arial"/>
          <w:noProof w:val="0"/>
          <w:rtl/>
        </w:rPr>
      </w:pPr>
    </w:p>
    <w:p w:rsidR="009003AA" w:rsidRDefault="009003AA" w:rsidP="009003AA">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בהצהרת ההון המקורית של המערער לשנת 2012 נרשם סכום של 4,629,396 ₪ כנכס של המערער שנרכש בחודש</w:t>
      </w:r>
      <w:r>
        <w:rPr>
          <w:rFonts w:ascii="Arial" w:hAnsi="Arial" w:hint="cs"/>
          <w:noProof w:val="0"/>
        </w:rPr>
        <w:t xml:space="preserve"> </w:t>
      </w:r>
      <w:r>
        <w:rPr>
          <w:rFonts w:ascii="Arial" w:hAnsi="Arial" w:hint="cs"/>
          <w:noProof w:val="0"/>
          <w:rtl/>
        </w:rPr>
        <w:t>דצמבר 2006. בטופס הפחת של השותפות ליום 31.12.12 ביחס לנכס נרשם כי עלות הנכס הינה 14,844,361 ₪. המשיב תיאם את עלות הנכס לפי טופס הפחת, כך שמחצית העלות נזקפה כהון של המערער, ובכך הוסף להונו של המערער כ- 2.8 מיליון ₪. לטענת המשיב, מאחר וטופס הפחת לוקח בחשבון את כל הה</w:t>
      </w:r>
      <w:r w:rsidR="005B576E">
        <w:rPr>
          <w:rFonts w:ascii="Arial" w:hAnsi="Arial" w:hint="cs"/>
          <w:noProof w:val="0"/>
          <w:rtl/>
        </w:rPr>
        <w:t>שקעות שבוצעו עד ליום 31.12.12 (</w:t>
      </w:r>
      <w:r>
        <w:rPr>
          <w:rFonts w:ascii="Arial" w:hAnsi="Arial" w:hint="cs"/>
          <w:noProof w:val="0"/>
          <w:rtl/>
        </w:rPr>
        <w:t xml:space="preserve">שהוא גם מועד הצהרת ההון של המערער), אין לקחת בחשבון סכומים שהוצאו לאחר שנת 2012. המשיב ציין כי בהצהרת ההון שהגיש מארק ליום 31.12.13 הופיע חלקו של מארק בסכום של 9,218,575 ₪. </w:t>
      </w:r>
    </w:p>
    <w:p w:rsidR="009003AA" w:rsidRDefault="009003AA" w:rsidP="009003AA">
      <w:pPr>
        <w:spacing w:line="360" w:lineRule="auto"/>
        <w:ind w:left="720" w:hanging="720"/>
        <w:jc w:val="both"/>
        <w:rPr>
          <w:rFonts w:ascii="Arial" w:hAnsi="Arial"/>
          <w:noProof w:val="0"/>
          <w:rtl/>
        </w:rPr>
      </w:pPr>
    </w:p>
    <w:p w:rsidR="009003AA" w:rsidRDefault="009003AA" w:rsidP="005B576E">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הפן החשבונאי הוסבר על ידי רואה חשבון קופ, מטעם המערער. על פי עדותו, הדו"ח האישי של המערער והצהרת ההון ליום 31.12.12 כוללים את השקעות המערער בלבד. עוד נטען כי השותפות ניהלה דוחות עצמאיים שנערכו והוגשו על ידי רואה חשבון מטעם מארק. נטען כי יהיה זה שגוי לזקוף למערער מחצית משווי הנכס כפי שנרשם בספרי השותפות, בשל העובדה שהמערער הינו הבעלים של 50% מהשותפות. לטענת המערער, השותפות לא ניהלה הנהלת חשבונות</w:t>
      </w:r>
      <w:r w:rsidR="00F4799D">
        <w:rPr>
          <w:rFonts w:ascii="Arial" w:hAnsi="Arial" w:hint="cs"/>
          <w:noProof w:val="0"/>
          <w:rtl/>
        </w:rPr>
        <w:t xml:space="preserve"> כפולה ועל כן לא נ</w:t>
      </w:r>
      <w:r w:rsidR="005B576E">
        <w:rPr>
          <w:rFonts w:ascii="Arial" w:hAnsi="Arial" w:hint="cs"/>
          <w:noProof w:val="0"/>
          <w:rtl/>
        </w:rPr>
        <w:t>י</w:t>
      </w:r>
      <w:r w:rsidR="00F4799D">
        <w:rPr>
          <w:rFonts w:ascii="Arial" w:hAnsi="Arial" w:hint="cs"/>
          <w:noProof w:val="0"/>
          <w:rtl/>
        </w:rPr>
        <w:t xml:space="preserve">תן להסיק מהי "תמונת המצב" העדכנית לגבי חלקו של כל שותף בכל רגע נתון. לטענת רו"ח קופ, טופס הפחת כולל חשבוניות בלבד, להבדיל מקבלות וכי הרישום אצל רואה החשבון נעשה על פי מועד התשלום בפועל (לפי הקבלות) ולא על פי מועד החשבונית. </w:t>
      </w:r>
    </w:p>
    <w:p w:rsidR="00F4799D" w:rsidRDefault="00F4799D" w:rsidP="009003AA">
      <w:pPr>
        <w:spacing w:line="360" w:lineRule="auto"/>
        <w:ind w:left="720" w:hanging="720"/>
        <w:jc w:val="both"/>
        <w:rPr>
          <w:rFonts w:ascii="Arial" w:hAnsi="Arial"/>
          <w:noProof w:val="0"/>
          <w:rtl/>
        </w:rPr>
      </w:pPr>
    </w:p>
    <w:p w:rsidR="00F4799D" w:rsidRDefault="00F4799D" w:rsidP="005B576E">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לטענת המערער, המשיב</w:t>
      </w:r>
      <w:r w:rsidR="005B576E">
        <w:rPr>
          <w:rFonts w:ascii="Arial" w:hAnsi="Arial" w:hint="cs"/>
          <w:noProof w:val="0"/>
          <w:rtl/>
        </w:rPr>
        <w:t xml:space="preserve"> לא ערך ביקורת לספרי השותפות</w:t>
      </w:r>
      <w:r>
        <w:rPr>
          <w:rFonts w:ascii="Arial" w:hAnsi="Arial" w:hint="cs"/>
          <w:noProof w:val="0"/>
          <w:rtl/>
        </w:rPr>
        <w:t xml:space="preserve"> </w:t>
      </w:r>
      <w:r w:rsidR="005B576E">
        <w:rPr>
          <w:rFonts w:ascii="Arial" w:hAnsi="Arial" w:hint="cs"/>
          <w:noProof w:val="0"/>
          <w:rtl/>
        </w:rPr>
        <w:t>ו</w:t>
      </w:r>
      <w:r>
        <w:rPr>
          <w:rFonts w:ascii="Arial" w:hAnsi="Arial" w:hint="cs"/>
          <w:noProof w:val="0"/>
          <w:rtl/>
        </w:rPr>
        <w:t xml:space="preserve">המפקח בשלב א', לא העלה את שווי הנכס </w:t>
      </w:r>
      <w:r>
        <w:rPr>
          <w:rFonts w:ascii="Arial" w:hAnsi="Arial"/>
          <w:noProof w:val="0"/>
          <w:rtl/>
        </w:rPr>
        <w:t>–</w:t>
      </w:r>
      <w:r>
        <w:rPr>
          <w:rFonts w:ascii="Arial" w:hAnsi="Arial" w:hint="cs"/>
          <w:noProof w:val="0"/>
          <w:rtl/>
        </w:rPr>
        <w:t xml:space="preserve"> דבר שנעשה  רק בשלב </w:t>
      </w:r>
      <w:r w:rsidR="005B576E">
        <w:rPr>
          <w:rFonts w:ascii="Arial" w:hAnsi="Arial" w:hint="cs"/>
          <w:noProof w:val="0"/>
          <w:rtl/>
        </w:rPr>
        <w:t>דיוני השומה. נטען כי למשיב היו</w:t>
      </w:r>
      <w:r>
        <w:rPr>
          <w:rFonts w:ascii="Arial" w:hAnsi="Arial" w:hint="cs"/>
          <w:noProof w:val="0"/>
          <w:rtl/>
        </w:rPr>
        <w:t xml:space="preserve"> הכלים לבצע את בדיקת ספרי השותפות בדיעבד והדברים לא פורטו בתצהיר הע</w:t>
      </w:r>
      <w:r w:rsidR="005B576E">
        <w:rPr>
          <w:rFonts w:ascii="Arial" w:hAnsi="Arial" w:hint="cs"/>
          <w:noProof w:val="0"/>
          <w:rtl/>
        </w:rPr>
        <w:t>ד</w:t>
      </w:r>
      <w:r>
        <w:rPr>
          <w:rFonts w:ascii="Arial" w:hAnsi="Arial" w:hint="cs"/>
          <w:noProof w:val="0"/>
          <w:rtl/>
        </w:rPr>
        <w:t xml:space="preserve">ות </w:t>
      </w:r>
      <w:r w:rsidR="005B576E">
        <w:rPr>
          <w:rFonts w:ascii="Arial" w:hAnsi="Arial" w:hint="cs"/>
          <w:noProof w:val="0"/>
          <w:rtl/>
        </w:rPr>
        <w:t>ה</w:t>
      </w:r>
      <w:r>
        <w:rPr>
          <w:rFonts w:ascii="Arial" w:hAnsi="Arial" w:hint="cs"/>
          <w:noProof w:val="0"/>
          <w:rtl/>
        </w:rPr>
        <w:t xml:space="preserve">ראשית מטעם המשיב. </w:t>
      </w:r>
    </w:p>
    <w:p w:rsidR="00F4799D" w:rsidRDefault="00F4799D" w:rsidP="00F4799D">
      <w:pPr>
        <w:spacing w:line="360" w:lineRule="auto"/>
        <w:ind w:left="720" w:hanging="720"/>
        <w:jc w:val="both"/>
        <w:rPr>
          <w:rFonts w:ascii="Arial" w:hAnsi="Arial"/>
          <w:noProof w:val="0"/>
          <w:rtl/>
        </w:rPr>
      </w:pPr>
    </w:p>
    <w:p w:rsidR="00F4799D" w:rsidRDefault="00F4799D" w:rsidP="00F4799D">
      <w:pPr>
        <w:spacing w:line="360" w:lineRule="auto"/>
        <w:ind w:left="720" w:hanging="720"/>
        <w:jc w:val="both"/>
        <w:rPr>
          <w:rFonts w:ascii="Arial" w:hAnsi="Arial"/>
          <w:noProof w:val="0"/>
          <w:rtl/>
        </w:rPr>
      </w:pPr>
      <w:r>
        <w:rPr>
          <w:rFonts w:ascii="Arial" w:hAnsi="Arial" w:hint="cs"/>
          <w:noProof w:val="0"/>
          <w:rtl/>
        </w:rPr>
        <w:lastRenderedPageBreak/>
        <w:t>26.</w:t>
      </w:r>
      <w:r>
        <w:rPr>
          <w:rFonts w:ascii="Arial" w:hAnsi="Arial" w:hint="cs"/>
          <w:noProof w:val="0"/>
          <w:rtl/>
        </w:rPr>
        <w:tab/>
        <w:t>גם בהקשר זה טען המשיב כי המערער לא זימן לעדות את שותפו של המערער (מארק) ולא הציג כל ראיה התומכת בטענתו בדבר "התחשבנות מאוחרת" בין השותפים, בעת מכירת החנות האחרונה בנכס. אכן המערער לא דאג לזימונו של שותפו למתן עדות, ועדות השותף יכ</w:t>
      </w:r>
      <w:r w:rsidR="005B576E">
        <w:rPr>
          <w:rFonts w:ascii="Arial" w:hAnsi="Arial" w:hint="cs"/>
          <w:noProof w:val="0"/>
          <w:rtl/>
        </w:rPr>
        <w:t>ו</w:t>
      </w:r>
      <w:r>
        <w:rPr>
          <w:rFonts w:ascii="Arial" w:hAnsi="Arial" w:hint="cs"/>
          <w:noProof w:val="0"/>
          <w:rtl/>
        </w:rPr>
        <w:t xml:space="preserve">לה </w:t>
      </w:r>
      <w:r w:rsidR="005B576E">
        <w:rPr>
          <w:rFonts w:ascii="Arial" w:hAnsi="Arial" w:hint="cs"/>
          <w:noProof w:val="0"/>
          <w:rtl/>
        </w:rPr>
        <w:t xml:space="preserve">הייתה </w:t>
      </w:r>
      <w:r>
        <w:rPr>
          <w:rFonts w:ascii="Arial" w:hAnsi="Arial" w:hint="cs"/>
          <w:noProof w:val="0"/>
          <w:rtl/>
        </w:rPr>
        <w:t xml:space="preserve">לשפוך אור על הטענה בדבר אותה "התחשבנות מאוחרת". יחד עם זאת, מצאתי שיש קושי בהתנהלות המשיב </w:t>
      </w:r>
      <w:r w:rsidR="005B576E">
        <w:rPr>
          <w:rFonts w:ascii="Arial" w:hAnsi="Arial" w:hint="cs"/>
          <w:noProof w:val="0"/>
          <w:rtl/>
        </w:rPr>
        <w:t xml:space="preserve">ובעמדתו </w:t>
      </w:r>
      <w:r>
        <w:rPr>
          <w:rFonts w:ascii="Arial" w:hAnsi="Arial" w:hint="cs"/>
          <w:noProof w:val="0"/>
          <w:rtl/>
        </w:rPr>
        <w:t>בסוגיה זו.</w:t>
      </w:r>
    </w:p>
    <w:p w:rsidR="00F4799D" w:rsidRDefault="00F4799D" w:rsidP="005B576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תמונת המצב ביחס להעלאת שווי הנכ</w:t>
      </w:r>
      <w:r w:rsidR="005B576E">
        <w:rPr>
          <w:rFonts w:ascii="Arial" w:hAnsi="Arial" w:hint="cs"/>
          <w:noProof w:val="0"/>
          <w:rtl/>
        </w:rPr>
        <w:t>ס בסכום</w:t>
      </w:r>
      <w:r>
        <w:rPr>
          <w:rFonts w:ascii="Arial" w:hAnsi="Arial" w:hint="cs"/>
          <w:noProof w:val="0"/>
          <w:rtl/>
        </w:rPr>
        <w:t xml:space="preserve"> של 2.8 מיליון ₪ אינה מניחה את הדעת. בשלב א' של השומה, לא בוצעה העלאת שווי כזו (עמ' 61 לפרוטוקול, חקירתה הנגדית של המצהירה מטעם המשיב). גרסת המערער בדבר העיתוי של השקעות כל אחד מן השותפים והעדר הנהלת חשבונות כפולה הועלתה בתצהירי העדות הראשית</w:t>
      </w:r>
      <w:r w:rsidR="005B576E">
        <w:rPr>
          <w:rFonts w:ascii="Arial" w:hAnsi="Arial" w:hint="cs"/>
          <w:noProof w:val="0"/>
          <w:rtl/>
        </w:rPr>
        <w:t xml:space="preserve"> מטעם המערער</w:t>
      </w:r>
      <w:r>
        <w:rPr>
          <w:rFonts w:ascii="Arial" w:hAnsi="Arial" w:hint="cs"/>
          <w:noProof w:val="0"/>
          <w:rtl/>
        </w:rPr>
        <w:t xml:space="preserve"> והמשיב לא בדק טענות אלה ולא התייחס לכך במסגרת תצהיר הע</w:t>
      </w:r>
      <w:r w:rsidR="00060465">
        <w:rPr>
          <w:rFonts w:ascii="Arial" w:hAnsi="Arial" w:hint="cs"/>
          <w:noProof w:val="0"/>
          <w:rtl/>
        </w:rPr>
        <w:t xml:space="preserve">דות הראשית. </w:t>
      </w:r>
      <w:r>
        <w:rPr>
          <w:rFonts w:ascii="Arial" w:hAnsi="Arial" w:hint="cs"/>
          <w:noProof w:val="0"/>
          <w:rtl/>
        </w:rPr>
        <w:t>בדיקות ה</w:t>
      </w:r>
      <w:r w:rsidR="00A95E50">
        <w:rPr>
          <w:rFonts w:ascii="Arial" w:hAnsi="Arial" w:hint="cs"/>
          <w:noProof w:val="0"/>
          <w:rtl/>
        </w:rPr>
        <w:t xml:space="preserve">משיב לגבי הרישום של הצהרת ההון של מארק (השותף) מלמדות כי הרישום אצל מארק גבוה יותר מהשווי הרעיוני שקבע המשיב למערער. לא נחה דעתי כי מסקנת המשיב </w:t>
      </w:r>
      <w:r w:rsidR="005B576E">
        <w:rPr>
          <w:rFonts w:ascii="Arial" w:hAnsi="Arial" w:hint="cs"/>
          <w:noProof w:val="0"/>
          <w:rtl/>
        </w:rPr>
        <w:t xml:space="preserve">בסוגיה זו </w:t>
      </w:r>
      <w:r w:rsidR="00A95E50">
        <w:rPr>
          <w:rFonts w:ascii="Arial" w:hAnsi="Arial" w:hint="cs"/>
          <w:noProof w:val="0"/>
          <w:rtl/>
        </w:rPr>
        <w:t xml:space="preserve">מבוססת ומלמדת על שומת מס אמת מדויקת. </w:t>
      </w:r>
    </w:p>
    <w:p w:rsidR="00A95E50" w:rsidRDefault="00A95E50" w:rsidP="00A95E50">
      <w:pPr>
        <w:spacing w:line="360" w:lineRule="auto"/>
        <w:ind w:left="720" w:hanging="720"/>
        <w:jc w:val="both"/>
        <w:rPr>
          <w:rFonts w:ascii="Arial" w:hAnsi="Arial"/>
          <w:noProof w:val="0"/>
          <w:rtl/>
        </w:rPr>
      </w:pPr>
    </w:p>
    <w:p w:rsidR="00A95E50" w:rsidRDefault="00A95E50" w:rsidP="00A95E50">
      <w:pPr>
        <w:spacing w:line="360" w:lineRule="auto"/>
        <w:ind w:left="720" w:hanging="720"/>
        <w:jc w:val="both"/>
        <w:rPr>
          <w:rFonts w:ascii="Arial" w:hAnsi="Arial"/>
          <w:noProof w:val="0"/>
          <w:rtl/>
        </w:rPr>
      </w:pPr>
      <w:r>
        <w:rPr>
          <w:rFonts w:ascii="Arial" w:hAnsi="Arial" w:hint="cs"/>
          <w:noProof w:val="0"/>
          <w:rtl/>
        </w:rPr>
        <w:t>27.</w:t>
      </w:r>
      <w:r>
        <w:rPr>
          <w:rFonts w:ascii="Arial" w:hAnsi="Arial"/>
          <w:noProof w:val="0"/>
          <w:rtl/>
        </w:rPr>
        <w:tab/>
      </w:r>
      <w:r>
        <w:rPr>
          <w:rFonts w:ascii="Arial" w:hAnsi="Arial" w:hint="cs"/>
          <w:noProof w:val="0"/>
          <w:rtl/>
        </w:rPr>
        <w:t>על פי טופס הפחת השווי הרשום הינו 12.6</w:t>
      </w:r>
      <w:r w:rsidR="005B576E">
        <w:rPr>
          <w:rFonts w:ascii="Arial" w:hAnsi="Arial" w:hint="cs"/>
          <w:noProof w:val="0"/>
          <w:rtl/>
        </w:rPr>
        <w:t xml:space="preserve"> מיליון ₪, שהוא המחיר המקורי להבדיל מן</w:t>
      </w:r>
      <w:r>
        <w:rPr>
          <w:rFonts w:ascii="Arial" w:hAnsi="Arial" w:hint="cs"/>
          <w:noProof w:val="0"/>
          <w:rtl/>
        </w:rPr>
        <w:t xml:space="preserve"> הסכום לאחר שערוך לצרכי פחת. גם  לפי שיטת המשיב, המבוססת על טופס הפחת (תוך התעלמות מגרסת המערער בדבר השקעות בלתי סימט</w:t>
      </w:r>
      <w:r w:rsidR="005B576E">
        <w:rPr>
          <w:rFonts w:ascii="Arial" w:hAnsi="Arial" w:hint="cs"/>
          <w:noProof w:val="0"/>
          <w:rtl/>
        </w:rPr>
        <w:t>ריות בין השותפים ואי ניהול הנהלת</w:t>
      </w:r>
      <w:r>
        <w:rPr>
          <w:rFonts w:ascii="Arial" w:hAnsi="Arial" w:hint="cs"/>
          <w:noProof w:val="0"/>
          <w:rtl/>
        </w:rPr>
        <w:t xml:space="preserve"> חשבונות כפולה ב</w:t>
      </w:r>
      <w:r w:rsidR="005B576E">
        <w:rPr>
          <w:rFonts w:ascii="Arial" w:hAnsi="Arial" w:hint="cs"/>
          <w:noProof w:val="0"/>
          <w:rtl/>
        </w:rPr>
        <w:t>שותפות),</w:t>
      </w:r>
      <w:r>
        <w:rPr>
          <w:rFonts w:ascii="Arial" w:hAnsi="Arial" w:hint="cs"/>
          <w:noProof w:val="0"/>
          <w:rtl/>
        </w:rPr>
        <w:t xml:space="preserve"> הרי שיתרת המערער בנכס היא 6.3 מיליון ₪ ליום 31.12.12 ולא</w:t>
      </w:r>
      <w:r w:rsidR="005B576E">
        <w:rPr>
          <w:rFonts w:ascii="Arial" w:hAnsi="Arial" w:hint="cs"/>
          <w:noProof w:val="0"/>
          <w:rtl/>
        </w:rPr>
        <w:t xml:space="preserve"> מחצית מהסכום בגובה</w:t>
      </w:r>
      <w:r>
        <w:rPr>
          <w:rFonts w:ascii="Arial" w:hAnsi="Arial" w:hint="cs"/>
          <w:noProof w:val="0"/>
          <w:rtl/>
        </w:rPr>
        <w:t xml:space="preserve"> 14.8 מיליון ₪. מכאן, שהפער אינו בסך של 2.8 מיליון ₪ אלא 1.7 מיליון ₪, באופן שמקטין את הפרש ההון הבלתי מוסבר  ב- </w:t>
      </w:r>
      <w:r w:rsidR="005B576E">
        <w:rPr>
          <w:rFonts w:ascii="Arial" w:hAnsi="Arial" w:hint="cs"/>
          <w:noProof w:val="0"/>
          <w:rtl/>
        </w:rPr>
        <w:t>1</w:t>
      </w:r>
      <w:r>
        <w:rPr>
          <w:rFonts w:ascii="Arial" w:hAnsi="Arial" w:hint="cs"/>
          <w:noProof w:val="0"/>
          <w:rtl/>
        </w:rPr>
        <w:t xml:space="preserve">.1 מיליון ₪. </w:t>
      </w:r>
    </w:p>
    <w:p w:rsidR="00A95E50" w:rsidRDefault="00A95E50" w:rsidP="00A95E50">
      <w:pPr>
        <w:spacing w:line="360" w:lineRule="auto"/>
        <w:ind w:left="720" w:hanging="720"/>
        <w:jc w:val="both"/>
        <w:rPr>
          <w:rFonts w:ascii="Arial" w:hAnsi="Arial"/>
          <w:noProof w:val="0"/>
          <w:rtl/>
        </w:rPr>
      </w:pPr>
    </w:p>
    <w:p w:rsidR="00A95E50" w:rsidRDefault="00A95E50" w:rsidP="00A95E50">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r>
      <w:r w:rsidRPr="00A95E50">
        <w:rPr>
          <w:rFonts w:ascii="Arial" w:hAnsi="Arial" w:hint="cs"/>
          <w:noProof w:val="0"/>
          <w:u w:val="single"/>
          <w:rtl/>
        </w:rPr>
        <w:t>סיכום ביניים</w:t>
      </w:r>
      <w:r>
        <w:rPr>
          <w:rFonts w:ascii="Arial" w:hAnsi="Arial" w:hint="cs"/>
          <w:noProof w:val="0"/>
          <w:rtl/>
        </w:rPr>
        <w:t xml:space="preserve">: לאור כל האמור לעיל, מצאתי שיש מקום להתערב בהחלטת המשיב בסוגיה זו ולהעמיד את הפרש ההון הבלתי  מוסבר על סך של 1.7 מיליון ₪ ולא על 2.8 מיליון ₪ כפי שנקבע בשומה. </w:t>
      </w:r>
    </w:p>
    <w:p w:rsidR="00A95E50" w:rsidRDefault="00A95E50" w:rsidP="00A95E50">
      <w:pPr>
        <w:spacing w:line="360" w:lineRule="auto"/>
        <w:ind w:left="720" w:hanging="720"/>
        <w:jc w:val="both"/>
        <w:rPr>
          <w:rFonts w:ascii="Arial" w:hAnsi="Arial"/>
          <w:noProof w:val="0"/>
          <w:rtl/>
        </w:rPr>
      </w:pPr>
    </w:p>
    <w:p w:rsidR="00A95E50" w:rsidRPr="005B576E" w:rsidRDefault="00A95E50" w:rsidP="00A95E50">
      <w:pPr>
        <w:spacing w:line="360" w:lineRule="auto"/>
        <w:ind w:left="720" w:hanging="720"/>
        <w:jc w:val="both"/>
        <w:rPr>
          <w:rFonts w:ascii="Arial" w:hAnsi="Arial"/>
          <w:noProof w:val="0"/>
          <w:u w:val="single"/>
          <w:rtl/>
        </w:rPr>
      </w:pPr>
      <w:r w:rsidRPr="005B576E">
        <w:rPr>
          <w:rFonts w:ascii="Arial" w:hAnsi="Arial" w:hint="cs"/>
          <w:noProof w:val="0"/>
          <w:u w:val="single"/>
          <w:rtl/>
        </w:rPr>
        <w:t>הוצאות מחיה</w:t>
      </w:r>
    </w:p>
    <w:p w:rsidR="00694556" w:rsidRDefault="00A95E50" w:rsidP="00A95E50">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המשיב עשה שימוש בטבלאות המחיה המתחלקות לשש רמות. ב"כ המערער הקשה על המצהירה מטעם המשיב בחקירתה הנגדית, עקב השימוש בטבלאות הנוגעות לרמה 1-2. להלן חילופי הדברים הנוגעים לעניין (עמ' 53-54 לפרוטוקול</w:t>
      </w:r>
      <w:r w:rsidR="00CD0A91">
        <w:rPr>
          <w:rFonts w:ascii="Arial" w:hAnsi="Arial" w:hint="cs"/>
          <w:noProof w:val="0"/>
          <w:rtl/>
        </w:rPr>
        <w:t>)</w:t>
      </w:r>
      <w:r>
        <w:rPr>
          <w:rFonts w:ascii="Arial" w:hAnsi="Arial" w:hint="cs"/>
          <w:noProof w:val="0"/>
          <w:rtl/>
        </w:rPr>
        <w:t xml:space="preserve">: </w:t>
      </w:r>
    </w:p>
    <w:p w:rsidR="00CD0A91" w:rsidRDefault="00CD0A91" w:rsidP="00A95E50">
      <w:pPr>
        <w:spacing w:line="360" w:lineRule="auto"/>
        <w:ind w:left="720" w:hanging="720"/>
        <w:jc w:val="both"/>
        <w:rPr>
          <w:rFonts w:ascii="Arial" w:hAnsi="Arial"/>
          <w:noProof w:val="0"/>
          <w:rtl/>
        </w:rPr>
      </w:pPr>
    </w:p>
    <w:p w:rsidR="00A95E50" w:rsidRPr="007800A6" w:rsidRDefault="00A95E50" w:rsidP="00CD0A91">
      <w:pPr>
        <w:spacing w:line="360" w:lineRule="auto"/>
        <w:ind w:left="720" w:hanging="720"/>
        <w:jc w:val="both"/>
        <w:rPr>
          <w:rFonts w:ascii="Arial" w:hAnsi="Arial"/>
          <w:b/>
          <w:bCs/>
          <w:noProof w:val="0"/>
          <w:rtl/>
        </w:rPr>
      </w:pPr>
      <w:r>
        <w:rPr>
          <w:rFonts w:ascii="Arial" w:hAnsi="Arial"/>
          <w:noProof w:val="0"/>
          <w:rtl/>
        </w:rPr>
        <w:tab/>
      </w:r>
      <w:r w:rsidR="00CD0A91">
        <w:rPr>
          <w:rFonts w:ascii="Arial" w:hAnsi="Arial"/>
          <w:noProof w:val="0"/>
          <w:rtl/>
        </w:rPr>
        <w:tab/>
      </w:r>
      <w:r>
        <w:rPr>
          <w:rFonts w:ascii="Arial" w:hAnsi="Arial" w:hint="cs"/>
          <w:noProof w:val="0"/>
          <w:rtl/>
        </w:rPr>
        <w:t>"</w:t>
      </w:r>
      <w:r w:rsidRPr="007800A6">
        <w:rPr>
          <w:rFonts w:ascii="Arial" w:hAnsi="Arial" w:hint="cs"/>
          <w:b/>
          <w:bCs/>
          <w:noProof w:val="0"/>
          <w:rtl/>
        </w:rPr>
        <w:t>ש. השאלה שלי היא כזאת, היכן נמצא תחשיב רמת המחייה של המערער?</w:t>
      </w:r>
    </w:p>
    <w:p w:rsidR="00A95E50" w:rsidRPr="007800A6" w:rsidRDefault="00A95E50" w:rsidP="00CD0A91">
      <w:pPr>
        <w:spacing w:line="360" w:lineRule="auto"/>
        <w:ind w:left="1440" w:hanging="720"/>
        <w:jc w:val="both"/>
        <w:rPr>
          <w:rFonts w:ascii="Arial" w:hAnsi="Arial"/>
          <w:b/>
          <w:bCs/>
          <w:noProof w:val="0"/>
          <w:rtl/>
        </w:rPr>
      </w:pPr>
      <w:r w:rsidRPr="007800A6">
        <w:rPr>
          <w:rFonts w:ascii="Arial" w:hAnsi="Arial"/>
          <w:b/>
          <w:bCs/>
          <w:noProof w:val="0"/>
          <w:rtl/>
        </w:rPr>
        <w:tab/>
      </w:r>
      <w:r w:rsidRPr="007800A6">
        <w:rPr>
          <w:rFonts w:ascii="Arial" w:hAnsi="Arial" w:hint="cs"/>
          <w:b/>
          <w:bCs/>
          <w:noProof w:val="0"/>
          <w:rtl/>
        </w:rPr>
        <w:t>ת. לא נעשה תחשיב ספציפי רמת המחייה של המערער. טבלאות, אנחנו מקבלים את זה טבלאות של הוצאות מחייה לפי מספר אנשים שגרים בבית, והן מח</w:t>
      </w:r>
      <w:r w:rsidR="00AC2680" w:rsidRPr="007800A6">
        <w:rPr>
          <w:rFonts w:ascii="Arial" w:hAnsi="Arial" w:hint="cs"/>
          <w:b/>
          <w:bCs/>
          <w:noProof w:val="0"/>
          <w:rtl/>
        </w:rPr>
        <w:t>ו</w:t>
      </w:r>
      <w:r w:rsidRPr="007800A6">
        <w:rPr>
          <w:rFonts w:ascii="Arial" w:hAnsi="Arial" w:hint="cs"/>
          <w:b/>
          <w:bCs/>
          <w:noProof w:val="0"/>
          <w:rtl/>
        </w:rPr>
        <w:t>לקות מרמה 1 עד רמה 6. מקבלים את זה כל פקידי השומה, ז</w:t>
      </w:r>
      <w:r w:rsidR="00AC2680" w:rsidRPr="007800A6">
        <w:rPr>
          <w:rFonts w:ascii="Arial" w:hAnsi="Arial" w:hint="cs"/>
          <w:b/>
          <w:bCs/>
          <w:noProof w:val="0"/>
          <w:rtl/>
        </w:rPr>
        <w:t>ה</w:t>
      </w:r>
      <w:r w:rsidRPr="007800A6">
        <w:rPr>
          <w:rFonts w:ascii="Arial" w:hAnsi="Arial" w:hint="cs"/>
          <w:b/>
          <w:bCs/>
          <w:noProof w:val="0"/>
          <w:rtl/>
        </w:rPr>
        <w:t xml:space="preserve"> מ</w:t>
      </w:r>
      <w:r w:rsidR="00AC2680" w:rsidRPr="007800A6">
        <w:rPr>
          <w:rFonts w:ascii="Arial" w:hAnsi="Arial" w:hint="cs"/>
          <w:b/>
          <w:bCs/>
          <w:noProof w:val="0"/>
          <w:rtl/>
        </w:rPr>
        <w:t xml:space="preserve">שהו שאנחנו מקבלים </w:t>
      </w:r>
      <w:r w:rsidR="00AC2680" w:rsidRPr="007800A6">
        <w:rPr>
          <w:rFonts w:ascii="Arial" w:hAnsi="Arial" w:hint="cs"/>
          <w:b/>
          <w:bCs/>
          <w:noProof w:val="0"/>
          <w:rtl/>
        </w:rPr>
        <w:lastRenderedPageBreak/>
        <w:t>את זה בטבלאות. ואנחנו מעריכים את הרמה הסוציואקונומית של הנישום, ולפי זה אנחנו בוחרים לקחת, אה, למה להתייחס, לרמת חיים גבוהה, ממוצעת, נמוכה וכו'. במקרה שלו</w:t>
      </w:r>
      <w:r w:rsidR="00CD0A91">
        <w:rPr>
          <w:rFonts w:ascii="Arial" w:hAnsi="Arial" w:hint="cs"/>
          <w:b/>
          <w:bCs/>
          <w:noProof w:val="0"/>
          <w:rtl/>
        </w:rPr>
        <w:t>,</w:t>
      </w:r>
      <w:r w:rsidR="00AC2680" w:rsidRPr="007800A6">
        <w:rPr>
          <w:rFonts w:ascii="Arial" w:hAnsi="Arial" w:hint="cs"/>
          <w:b/>
          <w:bCs/>
          <w:noProof w:val="0"/>
          <w:rtl/>
        </w:rPr>
        <w:t xml:space="preserve"> בעקבות הרכוש שיש לו, הרכב שהוא נוסע, נסיעות לחו"ל וכו' </w:t>
      </w:r>
      <w:r w:rsidR="00CD0A91">
        <w:rPr>
          <w:rFonts w:ascii="Arial" w:hAnsi="Arial" w:hint="cs"/>
          <w:b/>
          <w:bCs/>
          <w:noProof w:val="0"/>
          <w:rtl/>
        </w:rPr>
        <w:t>-</w:t>
      </w:r>
      <w:r w:rsidR="00AC2680" w:rsidRPr="007800A6">
        <w:rPr>
          <w:rFonts w:ascii="Arial" w:hAnsi="Arial" w:hint="cs"/>
          <w:b/>
          <w:bCs/>
          <w:noProof w:val="0"/>
          <w:rtl/>
        </w:rPr>
        <w:t xml:space="preserve"> רשמנו את רמה מס' 1-2. זה מה ששאלת?</w:t>
      </w:r>
      <w:r w:rsidR="007800A6" w:rsidRPr="007800A6">
        <w:rPr>
          <w:rFonts w:ascii="Arial" w:hAnsi="Arial" w:hint="cs"/>
          <w:b/>
          <w:bCs/>
          <w:noProof w:val="0"/>
          <w:rtl/>
        </w:rPr>
        <w:t>"</w:t>
      </w:r>
    </w:p>
    <w:p w:rsidR="00AC2680" w:rsidRDefault="00AC2680" w:rsidP="00AC2680">
      <w:pPr>
        <w:spacing w:line="360" w:lineRule="auto"/>
        <w:ind w:left="720" w:hanging="720"/>
        <w:jc w:val="both"/>
        <w:rPr>
          <w:rFonts w:ascii="Arial" w:hAnsi="Arial"/>
          <w:noProof w:val="0"/>
          <w:rtl/>
        </w:rPr>
      </w:pPr>
    </w:p>
    <w:p w:rsidR="00AC2680" w:rsidRDefault="00AC2680" w:rsidP="00AC2680">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 xml:space="preserve">ב"כ המערער טען כי המשיב לא "תפר חליפה" המותאמת למידות המערער, תוך שימוש בטופס רמת חיים. המצהירה מטעם המשיב השיבה בחקירתה הנגדית כי ברוב המקרים הדבר לא נעשה (עמ' 55 לפרוטוקול, שורות 1-5) וקביעת המשיב מבוססת על ההערכה כי רמת המחיה של המערער מתאימה לטבלאות 1-2. </w:t>
      </w:r>
    </w:p>
    <w:p w:rsidR="00AC2680" w:rsidRDefault="00AC2680" w:rsidP="00AC2680">
      <w:pPr>
        <w:spacing w:line="360" w:lineRule="auto"/>
        <w:ind w:left="720" w:hanging="720"/>
        <w:jc w:val="both"/>
        <w:rPr>
          <w:rFonts w:ascii="Arial" w:hAnsi="Arial"/>
          <w:noProof w:val="0"/>
          <w:rtl/>
        </w:rPr>
      </w:pPr>
    </w:p>
    <w:p w:rsidR="00AC2680" w:rsidRDefault="00AC2680" w:rsidP="00AC2680">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המערער לא פירט בתצהירו פרטים ואסמכתאות לגבי רמת המחייה שלו ושל משפחתו בתקופה הרלבנטית ואין לו אלא להלין על עצמו. אומנם המשיב לא הרחיב בסוגיה זו, אולם לא מצאתי</w:t>
      </w:r>
      <w:r w:rsidR="00CD0A91">
        <w:rPr>
          <w:rFonts w:ascii="Arial" w:hAnsi="Arial" w:hint="cs"/>
          <w:noProof w:val="0"/>
          <w:rtl/>
        </w:rPr>
        <w:t xml:space="preserve"> בסיס להתערב בהחלטתו בסוגיה זו, לאור נטל ההוכחה הרובץ על כתפי המערער, אשר לא הורם על ידו.</w:t>
      </w:r>
    </w:p>
    <w:p w:rsidR="00A95E50" w:rsidRDefault="00A95E50" w:rsidP="00A95E50">
      <w:pPr>
        <w:spacing w:line="360" w:lineRule="auto"/>
        <w:ind w:left="720" w:hanging="720"/>
        <w:jc w:val="both"/>
        <w:rPr>
          <w:rFonts w:ascii="Arial" w:hAnsi="Arial"/>
          <w:noProof w:val="0"/>
          <w:rtl/>
        </w:rPr>
      </w:pPr>
    </w:p>
    <w:p w:rsidR="00AC2680" w:rsidRPr="00CD0A91" w:rsidRDefault="00AC2680" w:rsidP="00A95E50">
      <w:pPr>
        <w:spacing w:line="360" w:lineRule="auto"/>
        <w:ind w:left="720" w:hanging="720"/>
        <w:jc w:val="both"/>
        <w:rPr>
          <w:rFonts w:ascii="Arial" w:hAnsi="Arial"/>
          <w:noProof w:val="0"/>
          <w:u w:val="single"/>
          <w:rtl/>
        </w:rPr>
      </w:pPr>
      <w:r w:rsidRPr="00CD0A91">
        <w:rPr>
          <w:rFonts w:ascii="Arial" w:hAnsi="Arial" w:hint="cs"/>
          <w:noProof w:val="0"/>
          <w:u w:val="single"/>
          <w:rtl/>
        </w:rPr>
        <w:t>אי הכרה בהוצאות מימון</w:t>
      </w:r>
    </w:p>
    <w:p w:rsidR="00A95E50" w:rsidRDefault="00AC2680" w:rsidP="00CD0A91">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 xml:space="preserve">המשיב סירב להכיר בהוצאות המימון </w:t>
      </w:r>
      <w:r w:rsidR="00CD0A91">
        <w:rPr>
          <w:rFonts w:ascii="Arial" w:hAnsi="Arial" w:hint="cs"/>
          <w:noProof w:val="0"/>
          <w:rtl/>
        </w:rPr>
        <w:t>ב</w:t>
      </w:r>
      <w:r>
        <w:rPr>
          <w:rFonts w:ascii="Arial" w:hAnsi="Arial" w:hint="cs"/>
          <w:noProof w:val="0"/>
          <w:rtl/>
        </w:rPr>
        <w:t xml:space="preserve">שותפות שדרש המערער כנגד הכנסותיו משכירות. נטען </w:t>
      </w:r>
      <w:r w:rsidR="007800A6">
        <w:rPr>
          <w:rFonts w:ascii="Arial" w:hAnsi="Arial" w:hint="cs"/>
          <w:noProof w:val="0"/>
          <w:rtl/>
        </w:rPr>
        <w:t>כי מדובר בהוצאות פי</w:t>
      </w:r>
      <w:r>
        <w:rPr>
          <w:rFonts w:ascii="Arial" w:hAnsi="Arial" w:hint="cs"/>
          <w:noProof w:val="0"/>
          <w:rtl/>
        </w:rPr>
        <w:t xml:space="preserve">רותיות שהוציא המערער אשר קוזזו כדין כנגד הכנסותיו השוטפות מדמי שכירות. </w:t>
      </w:r>
    </w:p>
    <w:p w:rsidR="00AC2680" w:rsidRDefault="00AC2680" w:rsidP="00A95E50">
      <w:pPr>
        <w:spacing w:line="360" w:lineRule="auto"/>
        <w:ind w:left="720" w:hanging="720"/>
        <w:jc w:val="both"/>
        <w:rPr>
          <w:rFonts w:ascii="Arial" w:hAnsi="Arial"/>
          <w:noProof w:val="0"/>
          <w:rtl/>
        </w:rPr>
      </w:pPr>
    </w:p>
    <w:p w:rsidR="00AC2680" w:rsidRDefault="00AC2680" w:rsidP="00A95E50">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 xml:space="preserve">לטענת המשיב, בשנת המס שבשומה נתבעו בניכוי הוצאות מימון אשר על פי טופס הפחת הוונו לנכס. </w:t>
      </w:r>
    </w:p>
    <w:p w:rsidR="00AC2680" w:rsidRDefault="00AC2680" w:rsidP="00A95E50">
      <w:pPr>
        <w:spacing w:line="360" w:lineRule="auto"/>
        <w:ind w:left="720" w:hanging="720"/>
        <w:jc w:val="both"/>
        <w:rPr>
          <w:rFonts w:ascii="Arial" w:hAnsi="Arial"/>
          <w:noProof w:val="0"/>
          <w:rtl/>
        </w:rPr>
      </w:pPr>
    </w:p>
    <w:p w:rsidR="00AC2680" w:rsidRDefault="00AC2680" w:rsidP="00140601">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המערער טען כי מדובר למעשה בשומה לשותפות וכן נטען כי דו"ח השותפות לא הוצג בשלב השומה ובערעור. כמו כן</w:t>
      </w:r>
      <w:r w:rsidR="00140601">
        <w:rPr>
          <w:rFonts w:ascii="Arial" w:hAnsi="Arial" w:hint="cs"/>
          <w:noProof w:val="0"/>
          <w:rtl/>
        </w:rPr>
        <w:t>,</w:t>
      </w:r>
      <w:r>
        <w:rPr>
          <w:rFonts w:ascii="Arial" w:hAnsi="Arial" w:hint="cs"/>
          <w:noProof w:val="0"/>
          <w:rtl/>
        </w:rPr>
        <w:t xml:space="preserve"> נטען כי המערער הגיש דו"ח אישי במסגרתו כלל את התוצאות העסקיות של השותפות ואין לו יכולת להשיג בתיקו האישי </w:t>
      </w:r>
      <w:r w:rsidR="00180333">
        <w:rPr>
          <w:rFonts w:ascii="Arial" w:hAnsi="Arial" w:hint="cs"/>
          <w:noProof w:val="0"/>
          <w:rtl/>
        </w:rPr>
        <w:t>על שומה ש</w:t>
      </w:r>
      <w:r>
        <w:rPr>
          <w:rFonts w:ascii="Arial" w:hAnsi="Arial" w:hint="cs"/>
          <w:noProof w:val="0"/>
          <w:rtl/>
        </w:rPr>
        <w:t xml:space="preserve">הוצאה לשותפות. לטענת המערער, תוצאת מהלך </w:t>
      </w:r>
      <w:r w:rsidR="00180333">
        <w:rPr>
          <w:rFonts w:ascii="Arial" w:hAnsi="Arial" w:hint="cs"/>
          <w:noProof w:val="0"/>
          <w:rtl/>
        </w:rPr>
        <w:t xml:space="preserve">המשיב </w:t>
      </w:r>
      <w:r>
        <w:rPr>
          <w:rFonts w:ascii="Arial" w:hAnsi="Arial" w:hint="cs"/>
          <w:noProof w:val="0"/>
          <w:rtl/>
        </w:rPr>
        <w:t>היא תיקון תוצא</w:t>
      </w:r>
      <w:r w:rsidR="00180333">
        <w:rPr>
          <w:rFonts w:ascii="Arial" w:hAnsi="Arial" w:hint="cs"/>
          <w:noProof w:val="0"/>
          <w:rtl/>
        </w:rPr>
        <w:t xml:space="preserve">ת המס </w:t>
      </w:r>
      <w:r w:rsidR="00140601">
        <w:rPr>
          <w:rFonts w:ascii="Arial" w:hAnsi="Arial" w:hint="cs"/>
          <w:noProof w:val="0"/>
          <w:rtl/>
        </w:rPr>
        <w:t xml:space="preserve">של השותפות לשנת 2012 שתהיה לה השפעה על תוצאות המס </w:t>
      </w:r>
      <w:r w:rsidR="00180333">
        <w:rPr>
          <w:rFonts w:ascii="Arial" w:hAnsi="Arial" w:hint="cs"/>
          <w:noProof w:val="0"/>
          <w:rtl/>
        </w:rPr>
        <w:t>לשנים הבאות ומיסוי השותפים בהתאם. לגופו של עניין, נט</w:t>
      </w:r>
      <w:r w:rsidR="008F2785">
        <w:rPr>
          <w:rFonts w:ascii="Arial" w:hAnsi="Arial" w:hint="cs"/>
          <w:noProof w:val="0"/>
          <w:rtl/>
        </w:rPr>
        <w:t>ען</w:t>
      </w:r>
      <w:r w:rsidR="00180333">
        <w:rPr>
          <w:rFonts w:ascii="Arial" w:hAnsi="Arial" w:hint="cs"/>
          <w:noProof w:val="0"/>
          <w:rtl/>
        </w:rPr>
        <w:t xml:space="preserve"> </w:t>
      </w:r>
      <w:r w:rsidR="008F2785">
        <w:rPr>
          <w:rFonts w:ascii="Arial" w:hAnsi="Arial" w:hint="cs"/>
          <w:noProof w:val="0"/>
          <w:rtl/>
        </w:rPr>
        <w:t>כ</w:t>
      </w:r>
      <w:r w:rsidR="00180333">
        <w:rPr>
          <w:rFonts w:ascii="Arial" w:hAnsi="Arial" w:hint="cs"/>
          <w:noProof w:val="0"/>
          <w:rtl/>
        </w:rPr>
        <w:t>י היה על המשיב לפרט את הוצאות המימון שלא הותרו בניכוי. המערער ציין בסיכומיו כי הוצאות ריבית המשכנתא שניטלה לצורך רכישת הנכס מהוונ</w:t>
      </w:r>
      <w:r w:rsidR="00140601">
        <w:rPr>
          <w:rFonts w:ascii="Arial" w:hAnsi="Arial" w:hint="cs"/>
          <w:noProof w:val="0"/>
          <w:rtl/>
        </w:rPr>
        <w:t>ו</w:t>
      </w:r>
      <w:r w:rsidR="00180333">
        <w:rPr>
          <w:rFonts w:ascii="Arial" w:hAnsi="Arial" w:hint="cs"/>
          <w:noProof w:val="0"/>
          <w:rtl/>
        </w:rPr>
        <w:t xml:space="preserve">ת לנכס (כהוצאה הונית), בעוד </w:t>
      </w:r>
      <w:r w:rsidR="00060465">
        <w:rPr>
          <w:rFonts w:ascii="Arial" w:hAnsi="Arial" w:hint="cs"/>
          <w:noProof w:val="0"/>
          <w:rtl/>
        </w:rPr>
        <w:t>ש</w:t>
      </w:r>
      <w:r w:rsidR="00180333">
        <w:rPr>
          <w:rFonts w:ascii="Arial" w:hAnsi="Arial" w:hint="cs"/>
          <w:noProof w:val="0"/>
          <w:rtl/>
        </w:rPr>
        <w:t>הוצאת ריבית בגין אשראי שוטף לצרכי השכר</w:t>
      </w:r>
      <w:r w:rsidR="00060465">
        <w:rPr>
          <w:rFonts w:ascii="Arial" w:hAnsi="Arial" w:hint="cs"/>
          <w:noProof w:val="0"/>
          <w:rtl/>
        </w:rPr>
        <w:t>ת הנכס תסווג כהוצאה תפעולית.</w:t>
      </w:r>
    </w:p>
    <w:p w:rsidR="00180333" w:rsidRDefault="00180333" w:rsidP="00180333">
      <w:pPr>
        <w:spacing w:line="360" w:lineRule="auto"/>
        <w:ind w:left="720" w:hanging="720"/>
        <w:jc w:val="both"/>
        <w:rPr>
          <w:rFonts w:ascii="Arial" w:hAnsi="Arial"/>
          <w:noProof w:val="0"/>
          <w:rtl/>
        </w:rPr>
      </w:pPr>
    </w:p>
    <w:p w:rsidR="00180333" w:rsidRDefault="00180333" w:rsidP="00180333">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 xml:space="preserve">בתצהיר העדות הראשית מטעם המשיב ביחס לשומת המס לשנת 2012 ציינה המצהירה כי בטופס הפחת של השותפות כללו השותפים את הוצאות המימון כחלק מעלות הנכס וקיבלו </w:t>
      </w:r>
      <w:r>
        <w:rPr>
          <w:rFonts w:ascii="Arial" w:hAnsi="Arial" w:hint="cs"/>
          <w:noProof w:val="0"/>
          <w:rtl/>
        </w:rPr>
        <w:lastRenderedPageBreak/>
        <w:t xml:space="preserve">פחת בגין עלות זו. בדו"ח הרווח והפסד של השותפות נדרשו הוצאות מימון (אשר הוונו לנכס  בטופס הפחת) פעם נוספת כהוצאות שוטפת לאותה שנה. צוין כי העתק דו"ח הרווח והפסד של השותפות לשנת 2012 מצורף לתצהיר ומסומן כנספח 4. </w:t>
      </w:r>
    </w:p>
    <w:p w:rsidR="00180333" w:rsidRDefault="00180333" w:rsidP="0018033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על אף האמור בתצהיר, נספח 4 לא צורף לתצהיר. משום כך</w:t>
      </w:r>
      <w:r w:rsidR="00060465">
        <w:rPr>
          <w:rFonts w:ascii="Arial" w:hAnsi="Arial" w:hint="cs"/>
          <w:noProof w:val="0"/>
          <w:rtl/>
        </w:rPr>
        <w:t>,</w:t>
      </w:r>
      <w:r>
        <w:rPr>
          <w:rFonts w:ascii="Arial" w:hAnsi="Arial" w:hint="cs"/>
          <w:noProof w:val="0"/>
          <w:rtl/>
        </w:rPr>
        <w:t xml:space="preserve"> לא התרתי למשיב להגיש לתיק ב</w:t>
      </w:r>
      <w:r w:rsidR="00060465">
        <w:rPr>
          <w:rFonts w:ascii="Arial" w:hAnsi="Arial" w:hint="cs"/>
          <w:noProof w:val="0"/>
          <w:rtl/>
        </w:rPr>
        <w:t>ית המשפט את הנספח הנ"ל לאחר סיום שלב</w:t>
      </w:r>
      <w:r>
        <w:rPr>
          <w:rFonts w:ascii="Arial" w:hAnsi="Arial" w:hint="cs"/>
          <w:noProof w:val="0"/>
          <w:rtl/>
        </w:rPr>
        <w:t xml:space="preserve"> ההוכחות (עמ' 78 לפרוטוקול</w:t>
      </w:r>
      <w:r w:rsidR="00060465">
        <w:rPr>
          <w:rFonts w:ascii="Arial" w:hAnsi="Arial" w:hint="cs"/>
          <w:noProof w:val="0"/>
          <w:rtl/>
        </w:rPr>
        <w:t>).</w:t>
      </w:r>
    </w:p>
    <w:p w:rsidR="00180333" w:rsidRDefault="00180333" w:rsidP="00A74D7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בנסיבות אלה, יש קושי לקב</w:t>
      </w:r>
      <w:r w:rsidR="00060465">
        <w:rPr>
          <w:rFonts w:ascii="Arial" w:hAnsi="Arial" w:hint="cs"/>
          <w:noProof w:val="0"/>
          <w:rtl/>
        </w:rPr>
        <w:t>ל את טענת המשיב, כי המערער אוחז</w:t>
      </w:r>
      <w:r>
        <w:rPr>
          <w:rFonts w:ascii="Arial" w:hAnsi="Arial" w:hint="cs"/>
          <w:noProof w:val="0"/>
          <w:rtl/>
        </w:rPr>
        <w:t xml:space="preserve"> בחבל משני קצותיו, על לידי דרישה של אותו סכום כחלק מעלות הנכס (פחת)</w:t>
      </w:r>
      <w:r w:rsidR="00A74D70">
        <w:rPr>
          <w:rFonts w:ascii="Arial" w:hAnsi="Arial" w:hint="cs"/>
          <w:noProof w:val="0"/>
          <w:rtl/>
        </w:rPr>
        <w:t xml:space="preserve"> וגם כהוצאה שוטפת לאותה שנת מס. בעניין זה אין למשיב אלא להלין על עצמו: הן באי צירוף דו"ח הרווח והפסד של השותפות לשנת 2012 והן באי פניה לפקיד השומה אשר בסמכותו מ</w:t>
      </w:r>
      <w:r w:rsidR="00060465">
        <w:rPr>
          <w:rFonts w:ascii="Arial" w:hAnsi="Arial" w:hint="cs"/>
          <w:noProof w:val="0"/>
          <w:rtl/>
        </w:rPr>
        <w:t xml:space="preserve">צוי תיק השותפות, כך שיתקיים בו </w:t>
      </w:r>
      <w:r w:rsidR="00A74D70">
        <w:rPr>
          <w:rFonts w:ascii="Arial" w:hAnsi="Arial" w:hint="cs"/>
          <w:noProof w:val="0"/>
          <w:rtl/>
        </w:rPr>
        <w:t xml:space="preserve">דיון. </w:t>
      </w:r>
    </w:p>
    <w:p w:rsidR="00A74D70" w:rsidRDefault="00A74D70" w:rsidP="000604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בנסיבות אלה, </w:t>
      </w:r>
      <w:r w:rsidR="00060465">
        <w:rPr>
          <w:rFonts w:ascii="Arial" w:hAnsi="Arial" w:hint="cs"/>
          <w:noProof w:val="0"/>
          <w:rtl/>
        </w:rPr>
        <w:t xml:space="preserve">כאשר אין בפניי כל פירוט ביחס למהות וסוג ההוצאות שלא הותרו בניכוי, </w:t>
      </w:r>
      <w:r>
        <w:rPr>
          <w:rFonts w:ascii="Arial" w:hAnsi="Arial" w:hint="cs"/>
          <w:noProof w:val="0"/>
          <w:rtl/>
        </w:rPr>
        <w:t xml:space="preserve">אין מנוס מהתערבות בהחלטת המשיב להוסיף תוספת </w:t>
      </w:r>
      <w:r w:rsidR="00060465">
        <w:rPr>
          <w:rFonts w:ascii="Arial" w:hAnsi="Arial" w:hint="cs"/>
          <w:noProof w:val="0"/>
          <w:rtl/>
        </w:rPr>
        <w:t>ל</w:t>
      </w:r>
      <w:r>
        <w:rPr>
          <w:rFonts w:ascii="Arial" w:hAnsi="Arial" w:hint="cs"/>
          <w:noProof w:val="0"/>
          <w:rtl/>
        </w:rPr>
        <w:t xml:space="preserve">הכנסות השותפות </w:t>
      </w:r>
      <w:r w:rsidR="00060465">
        <w:rPr>
          <w:rFonts w:ascii="Arial" w:hAnsi="Arial" w:hint="cs"/>
          <w:noProof w:val="0"/>
          <w:rtl/>
        </w:rPr>
        <w:t>לפי</w:t>
      </w:r>
      <w:r>
        <w:rPr>
          <w:rFonts w:ascii="Arial" w:hAnsi="Arial" w:hint="cs"/>
          <w:noProof w:val="0"/>
          <w:rtl/>
        </w:rPr>
        <w:t xml:space="preserve"> לחלקו של המערער </w:t>
      </w:r>
      <w:r w:rsidR="00060465">
        <w:rPr>
          <w:rFonts w:ascii="Arial" w:hAnsi="Arial" w:hint="cs"/>
          <w:noProof w:val="0"/>
          <w:rtl/>
        </w:rPr>
        <w:t>(</w:t>
      </w:r>
      <w:r>
        <w:rPr>
          <w:rFonts w:ascii="Arial" w:hAnsi="Arial" w:hint="cs"/>
          <w:noProof w:val="0"/>
          <w:rtl/>
        </w:rPr>
        <w:t>בסך 23,731 ₪</w:t>
      </w:r>
      <w:r w:rsidR="00060465">
        <w:rPr>
          <w:rFonts w:ascii="Arial" w:hAnsi="Arial" w:hint="cs"/>
          <w:noProof w:val="0"/>
          <w:rtl/>
        </w:rPr>
        <w:t>)</w:t>
      </w:r>
      <w:r>
        <w:rPr>
          <w:rFonts w:ascii="Arial" w:hAnsi="Arial" w:hint="cs"/>
          <w:noProof w:val="0"/>
          <w:rtl/>
        </w:rPr>
        <w:t xml:space="preserve">. </w:t>
      </w:r>
    </w:p>
    <w:p w:rsidR="00A95E50" w:rsidRDefault="00A95E50" w:rsidP="00A95E50">
      <w:pPr>
        <w:spacing w:line="360" w:lineRule="auto"/>
        <w:ind w:left="720" w:hanging="720"/>
        <w:jc w:val="both"/>
        <w:rPr>
          <w:rFonts w:ascii="Arial" w:hAnsi="Arial"/>
          <w:noProof w:val="0"/>
          <w:rtl/>
        </w:rPr>
      </w:pPr>
    </w:p>
    <w:p w:rsidR="00A74D70" w:rsidRPr="00A74D70" w:rsidRDefault="00A74D70" w:rsidP="00A95E50">
      <w:pPr>
        <w:spacing w:line="360" w:lineRule="auto"/>
        <w:ind w:left="720" w:hanging="720"/>
        <w:jc w:val="both"/>
        <w:rPr>
          <w:rFonts w:ascii="Arial" w:hAnsi="Arial"/>
          <w:noProof w:val="0"/>
          <w:u w:val="single"/>
          <w:rtl/>
        </w:rPr>
      </w:pPr>
      <w:r w:rsidRPr="00A74D70">
        <w:rPr>
          <w:rFonts w:ascii="Arial" w:hAnsi="Arial" w:hint="cs"/>
          <w:noProof w:val="0"/>
          <w:u w:val="single"/>
          <w:rtl/>
        </w:rPr>
        <w:t>הכנסה מיתרת זכות באידיאל סולר</w:t>
      </w:r>
    </w:p>
    <w:p w:rsidR="00A95E50" w:rsidRDefault="00A74D70" w:rsidP="00592D9F">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 xml:space="preserve">בדוחות הכספיים של חב' אידיאל סולר לשנת 2012 קיימת יתרת בעלים בגובה של 661,374 ₪. לטענת המשיב, עד למועד הוצאות הצווים בינואר 2018, המערער לא החזיר את </w:t>
      </w:r>
      <w:r w:rsidR="00060465">
        <w:rPr>
          <w:rFonts w:ascii="Arial" w:hAnsi="Arial" w:hint="cs"/>
          <w:noProof w:val="0"/>
          <w:rtl/>
        </w:rPr>
        <w:t xml:space="preserve">סכום </w:t>
      </w:r>
      <w:r w:rsidR="00592D9F">
        <w:rPr>
          <w:rFonts w:ascii="Arial" w:hAnsi="Arial" w:hint="cs"/>
          <w:noProof w:val="0"/>
          <w:rtl/>
        </w:rPr>
        <w:t>היתרה</w:t>
      </w:r>
      <w:r>
        <w:rPr>
          <w:rFonts w:ascii="Arial" w:hAnsi="Arial" w:hint="cs"/>
          <w:noProof w:val="0"/>
          <w:rtl/>
        </w:rPr>
        <w:t xml:space="preserve"> </w:t>
      </w:r>
      <w:r w:rsidR="00592D9F">
        <w:rPr>
          <w:rFonts w:ascii="Arial" w:hAnsi="Arial" w:hint="cs"/>
          <w:noProof w:val="0"/>
          <w:rtl/>
        </w:rPr>
        <w:t xml:space="preserve">הרשום </w:t>
      </w:r>
      <w:r>
        <w:rPr>
          <w:rFonts w:ascii="Arial" w:hAnsi="Arial" w:hint="cs"/>
          <w:noProof w:val="0"/>
          <w:rtl/>
        </w:rPr>
        <w:t>לחברה, אלא אף הגדיל אותה. המערער לא דיווח בדו"ח השנתי לשנת 2012 על כספים אלה כהכנסה ולא שילם מס על יתרה זו. מדובר בדו"ח כספי מבוקר על ידי רואה החשבון של החברה, אשר נחתם על ידי המערער. משום כך, טען המשיב כי יתרת הבעלים  ליום 31.12.12 מהווה הכנסה ממשכורות החייב</w:t>
      </w:r>
      <w:r w:rsidR="00592D9F">
        <w:rPr>
          <w:rFonts w:ascii="Arial" w:hAnsi="Arial" w:hint="cs"/>
          <w:noProof w:val="0"/>
          <w:rtl/>
        </w:rPr>
        <w:t>ת</w:t>
      </w:r>
      <w:r>
        <w:rPr>
          <w:rFonts w:ascii="Arial" w:hAnsi="Arial" w:hint="cs"/>
          <w:noProof w:val="0"/>
          <w:rtl/>
        </w:rPr>
        <w:t xml:space="preserve"> במס בידי המערער, לפי סעיף 2(2) לפקודה. </w:t>
      </w:r>
    </w:p>
    <w:p w:rsidR="00A74D70" w:rsidRDefault="00A74D70" w:rsidP="00A74D70">
      <w:pPr>
        <w:spacing w:line="360" w:lineRule="auto"/>
        <w:ind w:left="720" w:hanging="720"/>
        <w:jc w:val="both"/>
        <w:rPr>
          <w:rFonts w:ascii="Arial" w:hAnsi="Arial"/>
          <w:noProof w:val="0"/>
          <w:rtl/>
        </w:rPr>
      </w:pPr>
    </w:p>
    <w:p w:rsidR="00A74D70" w:rsidRDefault="00A74D70" w:rsidP="00A74D70">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t>המשיב ציין כי בגין שנים מאוחרות (2014</w:t>
      </w:r>
      <w:r w:rsidR="00592D9F">
        <w:rPr>
          <w:rFonts w:ascii="Arial" w:hAnsi="Arial" w:hint="cs"/>
          <w:noProof w:val="0"/>
          <w:rtl/>
        </w:rPr>
        <w:t>-2018) נחתם הסכם שומה בין הצדדים</w:t>
      </w:r>
      <w:r>
        <w:rPr>
          <w:rFonts w:ascii="Arial" w:hAnsi="Arial" w:hint="cs"/>
          <w:noProof w:val="0"/>
          <w:rtl/>
        </w:rPr>
        <w:t xml:space="preserve">, במסגרתו נכלל דיווח בגין הכנסה ממשכורת עקב הגדלת יתרת החובה באידיאל סולר לסך של 725,433 ₪ בשנת 2014 וכתוצאה מכך, שילם המערער מס בגין ההפרש. </w:t>
      </w:r>
    </w:p>
    <w:p w:rsidR="00A74D70" w:rsidRDefault="00A74D70" w:rsidP="00A74D70">
      <w:pPr>
        <w:spacing w:line="360" w:lineRule="auto"/>
        <w:ind w:left="720" w:hanging="720"/>
        <w:jc w:val="both"/>
        <w:rPr>
          <w:rFonts w:ascii="Arial" w:hAnsi="Arial"/>
          <w:noProof w:val="0"/>
          <w:rtl/>
        </w:rPr>
      </w:pPr>
    </w:p>
    <w:p w:rsidR="00A74D70" w:rsidRDefault="00A74D70" w:rsidP="00033921">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t xml:space="preserve">המערער הסתמך </w:t>
      </w:r>
      <w:r w:rsidR="006A2D70">
        <w:rPr>
          <w:rFonts w:ascii="Arial" w:hAnsi="Arial" w:hint="cs"/>
          <w:noProof w:val="0"/>
          <w:rtl/>
        </w:rPr>
        <w:t>בסוגיה זו על הסכם שומה מול פקיד השומה למפעלים גדולים שנגע לחב' "אמקור אנרגיות סולאריות בע"מ"</w:t>
      </w:r>
      <w:r w:rsidR="00033921">
        <w:rPr>
          <w:rFonts w:ascii="Arial" w:hAnsi="Arial" w:hint="cs"/>
          <w:noProof w:val="0"/>
          <w:rtl/>
        </w:rPr>
        <w:t xml:space="preserve"> בהקשר של הסכם מיום 10.5.2011 במסגרתו  מכרה אשטרום קבלנות בע"מ את המניות שבבעלותה לחב' אידיאל סולאר תמורת 12 מיל</w:t>
      </w:r>
      <w:r w:rsidR="00592D9F">
        <w:rPr>
          <w:rFonts w:ascii="Arial" w:hAnsi="Arial" w:hint="cs"/>
          <w:noProof w:val="0"/>
          <w:rtl/>
        </w:rPr>
        <w:t>י</w:t>
      </w:r>
      <w:r w:rsidR="00033921">
        <w:rPr>
          <w:rFonts w:ascii="Arial" w:hAnsi="Arial" w:hint="cs"/>
          <w:noProof w:val="0"/>
          <w:rtl/>
        </w:rPr>
        <w:t>ון ₪. במסגרת העסקה נעשתה הסבת הלוואת בעלים בסך של 41 מיליון  ₪  שנ</w:t>
      </w:r>
      <w:r w:rsidR="00592D9F">
        <w:rPr>
          <w:rFonts w:ascii="Arial" w:hAnsi="Arial" w:hint="cs"/>
          <w:noProof w:val="0"/>
          <w:rtl/>
        </w:rPr>
        <w:t>י</w:t>
      </w:r>
      <w:r w:rsidR="00033921">
        <w:rPr>
          <w:rFonts w:ascii="Arial" w:hAnsi="Arial" w:hint="cs"/>
          <w:noProof w:val="0"/>
          <w:rtl/>
        </w:rPr>
        <w:t xml:space="preserve">תנה לחברת אמקור אנרגיות. נטען כי הסכם השומה מול פשמ"ג מחק כל זכות או יתרה לחברה ולבעלי מניותיה שצמחו בהמשך לרכישת אמקור אנרגיות. נקבע בהסכם כי ההלוואה או קרן הון מבעל המניות בסך של כ </w:t>
      </w:r>
      <w:r w:rsidR="00033921">
        <w:rPr>
          <w:rFonts w:ascii="Arial" w:hAnsi="Arial"/>
          <w:noProof w:val="0"/>
          <w:rtl/>
        </w:rPr>
        <w:t>–</w:t>
      </w:r>
      <w:r w:rsidR="00033921">
        <w:rPr>
          <w:rFonts w:ascii="Arial" w:hAnsi="Arial" w:hint="cs"/>
          <w:noProof w:val="0"/>
          <w:rtl/>
        </w:rPr>
        <w:t xml:space="preserve"> 41 מיליון ₪ כפי שמופיעה בספרי החברה תועמד לצרכי מס על אפס. עוד הוסכם כי עלות מניות החברה בידי בעלי מניותיה הנוכחיים תימחק ותעמוד על אפס. </w:t>
      </w:r>
    </w:p>
    <w:p w:rsidR="00033921" w:rsidRDefault="00033921" w:rsidP="00033921">
      <w:pPr>
        <w:spacing w:line="360" w:lineRule="auto"/>
        <w:ind w:left="720" w:hanging="720"/>
        <w:jc w:val="both"/>
        <w:rPr>
          <w:rFonts w:ascii="Arial" w:hAnsi="Arial"/>
          <w:noProof w:val="0"/>
          <w:rtl/>
        </w:rPr>
      </w:pPr>
    </w:p>
    <w:p w:rsidR="00033921" w:rsidRDefault="00033921" w:rsidP="00866D08">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t>עוד טען המערער כי גם בהת</w:t>
      </w:r>
      <w:r w:rsidR="00866D08">
        <w:rPr>
          <w:rFonts w:ascii="Arial" w:hAnsi="Arial" w:hint="cs"/>
          <w:noProof w:val="0"/>
          <w:rtl/>
        </w:rPr>
        <w:t xml:space="preserve">עלם </w:t>
      </w:r>
      <w:r>
        <w:rPr>
          <w:rFonts w:ascii="Arial" w:hAnsi="Arial" w:hint="cs"/>
          <w:noProof w:val="0"/>
          <w:rtl/>
        </w:rPr>
        <w:t>מ</w:t>
      </w:r>
      <w:r w:rsidR="00866D08">
        <w:rPr>
          <w:rFonts w:ascii="Arial" w:hAnsi="Arial" w:hint="cs"/>
          <w:noProof w:val="0"/>
          <w:rtl/>
        </w:rPr>
        <w:t>ה</w:t>
      </w:r>
      <w:r>
        <w:rPr>
          <w:rFonts w:ascii="Arial" w:hAnsi="Arial" w:hint="cs"/>
          <w:noProof w:val="0"/>
          <w:rtl/>
        </w:rPr>
        <w:t>סכם השומה, יתרת החובה מקורה בכרטסת חו"ז בספרי החברה וכי לחברה אין כלל חשבון בנק. רו"ח קופ טען בעדותו כי יתרת הזכות היא מעין "</w:t>
      </w:r>
      <w:r>
        <w:rPr>
          <w:rFonts w:ascii="Arial" w:hAnsi="Arial"/>
          <w:noProof w:val="0"/>
        </w:rPr>
        <w:t>plug number</w:t>
      </w:r>
      <w:r>
        <w:rPr>
          <w:rFonts w:ascii="Arial" w:hAnsi="Arial" w:hint="cs"/>
          <w:noProof w:val="0"/>
          <w:rtl/>
        </w:rPr>
        <w:t>"</w:t>
      </w:r>
      <w:r w:rsidR="00866D08">
        <w:rPr>
          <w:rFonts w:ascii="Arial" w:hAnsi="Arial"/>
          <w:noProof w:val="0"/>
        </w:rPr>
        <w:t xml:space="preserve"> </w:t>
      </w:r>
      <w:r w:rsidR="00866D08">
        <w:rPr>
          <w:rFonts w:ascii="Arial" w:hAnsi="Arial" w:hint="cs"/>
          <w:noProof w:val="0"/>
          <w:rtl/>
        </w:rPr>
        <w:t xml:space="preserve">ואינה משקפת כספים שהועברו מהחברה לכיסו של המערער. </w:t>
      </w:r>
    </w:p>
    <w:p w:rsidR="00866D08" w:rsidRDefault="00866D08" w:rsidP="00866D08">
      <w:pPr>
        <w:spacing w:line="360" w:lineRule="auto"/>
        <w:ind w:left="720" w:hanging="720"/>
        <w:jc w:val="both"/>
        <w:rPr>
          <w:rFonts w:ascii="Arial" w:hAnsi="Arial"/>
          <w:noProof w:val="0"/>
          <w:rtl/>
        </w:rPr>
      </w:pPr>
    </w:p>
    <w:p w:rsidR="00866D08" w:rsidRDefault="00866D08" w:rsidP="00866D08">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t xml:space="preserve">במחלוקת זו מצאתי שיש להעדיף את עמדת המשיב. ראשית, לא נראה  כי הסכם השומה מול פשמ"ג שינה את דוחותיה של אידיאל סולר ויתרת החובה נותרה רשומה שם. יתרה מכך, המערער לא סיפק הסבר מניח את הדעת </w:t>
      </w:r>
      <w:r w:rsidR="00592D9F">
        <w:rPr>
          <w:rFonts w:ascii="Arial" w:hAnsi="Arial" w:hint="cs"/>
          <w:noProof w:val="0"/>
          <w:rtl/>
        </w:rPr>
        <w:t>ל</w:t>
      </w:r>
      <w:r>
        <w:rPr>
          <w:rFonts w:ascii="Arial" w:hAnsi="Arial" w:hint="cs"/>
          <w:noProof w:val="0"/>
          <w:rtl/>
        </w:rPr>
        <w:t>הסכם השומה לשנים 2014-2018 במסגרתו נכלל דיווח ממשכורת עקב הגדלת יתרת החובה מסך</w:t>
      </w:r>
      <w:r w:rsidR="00592D9F">
        <w:rPr>
          <w:rFonts w:ascii="Arial" w:hAnsi="Arial" w:hint="cs"/>
          <w:noProof w:val="0"/>
          <w:rtl/>
        </w:rPr>
        <w:t xml:space="preserve"> של</w:t>
      </w:r>
      <w:r>
        <w:rPr>
          <w:rFonts w:ascii="Arial" w:hAnsi="Arial" w:hint="cs"/>
          <w:noProof w:val="0"/>
          <w:rtl/>
        </w:rPr>
        <w:t xml:space="preserve"> 661,374 ₪ לסך של 725,433 ₪ בשנת 2014 ולתשלום מס על ההפרש. </w:t>
      </w:r>
    </w:p>
    <w:p w:rsidR="00033921" w:rsidRDefault="00866D08" w:rsidP="00592D9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מדובר באותה הכנסה עליה הוסכם ביחס לשנת 2014 </w:t>
      </w:r>
      <w:r w:rsidR="00592D9F">
        <w:rPr>
          <w:rFonts w:ascii="Arial" w:hAnsi="Arial" w:hint="cs"/>
          <w:noProof w:val="0"/>
          <w:rtl/>
        </w:rPr>
        <w:t>ש</w:t>
      </w:r>
      <w:r>
        <w:rPr>
          <w:rFonts w:ascii="Arial" w:hAnsi="Arial" w:hint="cs"/>
          <w:noProof w:val="0"/>
          <w:rtl/>
        </w:rPr>
        <w:t>היא תסווג כמשכורת. בנסיבות אלה, לא מ</w:t>
      </w:r>
      <w:r w:rsidR="00592D9F">
        <w:rPr>
          <w:rFonts w:ascii="Arial" w:hAnsi="Arial" w:hint="cs"/>
          <w:noProof w:val="0"/>
          <w:rtl/>
        </w:rPr>
        <w:t>צ</w:t>
      </w:r>
      <w:r>
        <w:rPr>
          <w:rFonts w:ascii="Arial" w:hAnsi="Arial" w:hint="cs"/>
          <w:noProof w:val="0"/>
          <w:rtl/>
        </w:rPr>
        <w:t>א</w:t>
      </w:r>
      <w:r w:rsidR="00592D9F">
        <w:rPr>
          <w:rFonts w:ascii="Arial" w:hAnsi="Arial" w:hint="cs"/>
          <w:noProof w:val="0"/>
          <w:rtl/>
        </w:rPr>
        <w:t>ת</w:t>
      </w:r>
      <w:r>
        <w:rPr>
          <w:rFonts w:ascii="Arial" w:hAnsi="Arial" w:hint="cs"/>
          <w:noProof w:val="0"/>
          <w:rtl/>
        </w:rPr>
        <w:t xml:space="preserve">י כי יש למקום להתערב בהחלטת המשיב בסוגיה זו. </w:t>
      </w:r>
    </w:p>
    <w:p w:rsidR="00866D08" w:rsidRDefault="00866D08" w:rsidP="00033921">
      <w:pPr>
        <w:spacing w:line="360" w:lineRule="auto"/>
        <w:ind w:left="720" w:hanging="720"/>
        <w:jc w:val="both"/>
        <w:rPr>
          <w:rFonts w:ascii="Arial" w:hAnsi="Arial"/>
          <w:noProof w:val="0"/>
          <w:rtl/>
        </w:rPr>
      </w:pPr>
    </w:p>
    <w:p w:rsidR="00866D08" w:rsidRPr="00592D9F" w:rsidRDefault="00866D08" w:rsidP="00866D08">
      <w:pPr>
        <w:spacing w:line="360" w:lineRule="auto"/>
        <w:ind w:left="720" w:hanging="720"/>
        <w:jc w:val="both"/>
        <w:rPr>
          <w:rFonts w:ascii="Arial" w:hAnsi="Arial"/>
          <w:noProof w:val="0"/>
          <w:u w:val="single"/>
          <w:rtl/>
        </w:rPr>
      </w:pPr>
      <w:r w:rsidRPr="00592D9F">
        <w:rPr>
          <w:rFonts w:ascii="Arial" w:hAnsi="Arial" w:hint="cs"/>
          <w:noProof w:val="0"/>
          <w:u w:val="single"/>
          <w:rtl/>
        </w:rPr>
        <w:t>תוספת הכנסה מהשכרת נכס</w:t>
      </w:r>
    </w:p>
    <w:p w:rsidR="00866D08" w:rsidRDefault="00866D08" w:rsidP="00866D08">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 xml:space="preserve">בשומה לשנת 2013 חויב המערער בתוספת הכנסה מהשכרת נכס לחברת בזק. המשיב מצא כי סכום התקבולים (ללא מע"מ) עולה על הסכום שדווח (38,400 ₪) ולכן, הוסיף המשיב להכנסת המערער תוספת הכנסה בסך 39,840 ₪. </w:t>
      </w:r>
    </w:p>
    <w:p w:rsidR="00866D08" w:rsidRDefault="00866D08" w:rsidP="00866D08">
      <w:pPr>
        <w:spacing w:line="360" w:lineRule="auto"/>
        <w:ind w:left="720" w:hanging="720"/>
        <w:jc w:val="both"/>
        <w:rPr>
          <w:rFonts w:ascii="Arial" w:hAnsi="Arial"/>
          <w:noProof w:val="0"/>
          <w:rtl/>
        </w:rPr>
      </w:pPr>
    </w:p>
    <w:p w:rsidR="00866D08" w:rsidRDefault="00866D08" w:rsidP="00866D08">
      <w:pPr>
        <w:spacing w:line="360" w:lineRule="auto"/>
        <w:ind w:left="720" w:hanging="720"/>
        <w:jc w:val="both"/>
        <w:rPr>
          <w:rFonts w:ascii="Arial" w:hAnsi="Arial"/>
          <w:noProof w:val="0"/>
          <w:rtl/>
        </w:rPr>
      </w:pPr>
      <w:r>
        <w:rPr>
          <w:rFonts w:ascii="Arial" w:hAnsi="Arial" w:hint="cs"/>
          <w:noProof w:val="0"/>
          <w:rtl/>
        </w:rPr>
        <w:t>42.</w:t>
      </w:r>
      <w:r>
        <w:rPr>
          <w:rFonts w:ascii="Arial" w:hAnsi="Arial" w:hint="cs"/>
          <w:noProof w:val="0"/>
          <w:rtl/>
        </w:rPr>
        <w:tab/>
        <w:t xml:space="preserve">המערער טען כי ביקש לקבל את האסמכתאות וההסברים ביחס למקור הנתונים ואילו המשיב לא טרח להמציא אסמכתאות להפרש הנטען בין הדיווח מטעם המערער לבין הנתונים שמצא המשיב. </w:t>
      </w:r>
    </w:p>
    <w:p w:rsidR="00866D08" w:rsidRDefault="00866D08" w:rsidP="00866D08">
      <w:pPr>
        <w:spacing w:line="360" w:lineRule="auto"/>
        <w:ind w:left="720" w:hanging="720"/>
        <w:jc w:val="both"/>
        <w:rPr>
          <w:rFonts w:ascii="Arial" w:hAnsi="Arial"/>
          <w:noProof w:val="0"/>
          <w:rtl/>
        </w:rPr>
      </w:pPr>
    </w:p>
    <w:p w:rsidR="00866D08" w:rsidRDefault="00866D08" w:rsidP="00866D08">
      <w:pPr>
        <w:spacing w:line="360" w:lineRule="auto"/>
        <w:ind w:left="720" w:hanging="720"/>
        <w:jc w:val="both"/>
        <w:rPr>
          <w:rFonts w:ascii="Arial" w:hAnsi="Arial"/>
          <w:noProof w:val="0"/>
          <w:rtl/>
        </w:rPr>
      </w:pPr>
      <w:r>
        <w:rPr>
          <w:rFonts w:ascii="Arial" w:hAnsi="Arial" w:hint="cs"/>
          <w:noProof w:val="0"/>
          <w:rtl/>
        </w:rPr>
        <w:t>43.</w:t>
      </w:r>
      <w:r>
        <w:rPr>
          <w:rFonts w:ascii="Arial" w:hAnsi="Arial" w:hint="cs"/>
          <w:noProof w:val="0"/>
          <w:rtl/>
        </w:rPr>
        <w:tab/>
        <w:t xml:space="preserve">המערער לא הציג ראיות כלשהן על היקף ההכנסות מהשכרת הנכס, כגון חוזה השכירות או פירוט התקבולים שהתקבלו מן השוכר. </w:t>
      </w:r>
    </w:p>
    <w:p w:rsidR="00A74D70" w:rsidRDefault="00A74D70" w:rsidP="00A74D70">
      <w:pPr>
        <w:spacing w:line="360" w:lineRule="auto"/>
        <w:jc w:val="both"/>
        <w:rPr>
          <w:rFonts w:ascii="Arial" w:hAnsi="Arial"/>
          <w:noProof w:val="0"/>
          <w:rtl/>
        </w:rPr>
      </w:pPr>
    </w:p>
    <w:p w:rsidR="00866D08" w:rsidRDefault="00866D08" w:rsidP="00592D9F">
      <w:pPr>
        <w:spacing w:line="360" w:lineRule="auto"/>
        <w:ind w:left="720" w:hanging="720"/>
        <w:jc w:val="both"/>
        <w:rPr>
          <w:rFonts w:ascii="Arial" w:hAnsi="Arial"/>
          <w:noProof w:val="0"/>
          <w:rtl/>
        </w:rPr>
      </w:pPr>
      <w:r>
        <w:rPr>
          <w:rFonts w:ascii="Arial" w:hAnsi="Arial" w:hint="cs"/>
          <w:noProof w:val="0"/>
          <w:rtl/>
        </w:rPr>
        <w:t>44.</w:t>
      </w:r>
      <w:r>
        <w:rPr>
          <w:rFonts w:ascii="Arial" w:hAnsi="Arial" w:hint="cs"/>
          <w:noProof w:val="0"/>
          <w:rtl/>
        </w:rPr>
        <w:tab/>
        <w:t>לכאורה, לפ</w:t>
      </w:r>
      <w:r w:rsidR="00592D9F">
        <w:rPr>
          <w:rFonts w:ascii="Arial" w:hAnsi="Arial" w:hint="cs"/>
          <w:noProof w:val="0"/>
          <w:rtl/>
        </w:rPr>
        <w:t>ח</w:t>
      </w:r>
      <w:r>
        <w:rPr>
          <w:rFonts w:ascii="Arial" w:hAnsi="Arial" w:hint="cs"/>
          <w:noProof w:val="0"/>
          <w:rtl/>
        </w:rPr>
        <w:t xml:space="preserve">ות, המשיב הסתמך על דיווחי המערער למע"מ, אולם דיווחים אלה לא הוצגו במסגרת התצהיר מטעם המשיב. המערער, שהיה מודע לנימוקי השומה לשנת 2013 </w:t>
      </w:r>
      <w:r w:rsidR="006F49D8">
        <w:rPr>
          <w:rFonts w:ascii="Arial" w:hAnsi="Arial" w:hint="cs"/>
          <w:noProof w:val="0"/>
          <w:rtl/>
        </w:rPr>
        <w:t>(</w:t>
      </w:r>
      <w:r>
        <w:rPr>
          <w:rFonts w:ascii="Arial" w:hAnsi="Arial" w:hint="cs"/>
          <w:noProof w:val="0"/>
          <w:rtl/>
        </w:rPr>
        <w:t>סעיף 15 הרלוונטי לעניינ</w:t>
      </w:r>
      <w:r w:rsidR="006F49D8">
        <w:rPr>
          <w:rFonts w:ascii="Arial" w:hAnsi="Arial" w:hint="cs"/>
          <w:noProof w:val="0"/>
          <w:rtl/>
        </w:rPr>
        <w:t xml:space="preserve">נו), לא טרח להציג ראיות בעניין זה ואף לא </w:t>
      </w:r>
      <w:r w:rsidR="00592D9F">
        <w:rPr>
          <w:rFonts w:ascii="Arial" w:hAnsi="Arial" w:hint="cs"/>
          <w:noProof w:val="0"/>
          <w:rtl/>
        </w:rPr>
        <w:t>כלל בתצהיר עדותו פירוט של</w:t>
      </w:r>
      <w:r w:rsidR="006F49D8">
        <w:rPr>
          <w:rFonts w:ascii="Arial" w:hAnsi="Arial" w:hint="cs"/>
          <w:noProof w:val="0"/>
          <w:rtl/>
        </w:rPr>
        <w:t xml:space="preserve"> ההכנסות מדמי שכירות בגין השכרת הנכס לחב' בזק. למשיב עומדת חזקת התקינות המנהלית (ראו, ל</w:t>
      </w:r>
      <w:r w:rsidR="00592D9F">
        <w:rPr>
          <w:rFonts w:ascii="Arial" w:hAnsi="Arial" w:hint="cs"/>
          <w:noProof w:val="0"/>
          <w:rtl/>
        </w:rPr>
        <w:t xml:space="preserve">משל, בהקשר זה את בר"ם 7502/22 </w:t>
      </w:r>
      <w:r w:rsidR="00592D9F" w:rsidRPr="00261AA5">
        <w:rPr>
          <w:rFonts w:ascii="Arial" w:hAnsi="Arial" w:hint="cs"/>
          <w:b/>
          <w:bCs/>
          <w:noProof w:val="0"/>
          <w:rtl/>
        </w:rPr>
        <w:t>רשות המסים נ' פודולסקי</w:t>
      </w:r>
      <w:r w:rsidR="00592D9F">
        <w:rPr>
          <w:rFonts w:ascii="Arial" w:hAnsi="Arial" w:hint="cs"/>
          <w:noProof w:val="0"/>
          <w:rtl/>
        </w:rPr>
        <w:t xml:space="preserve"> (22.1.23) פסקה 24; ואת בר"ם 1</w:t>
      </w:r>
      <w:r w:rsidR="00261AA5">
        <w:rPr>
          <w:rFonts w:ascii="Arial" w:hAnsi="Arial" w:hint="cs"/>
          <w:noProof w:val="0"/>
          <w:rtl/>
        </w:rPr>
        <w:t xml:space="preserve">692/23 </w:t>
      </w:r>
      <w:r w:rsidR="00261AA5" w:rsidRPr="00261AA5">
        <w:rPr>
          <w:rFonts w:ascii="Arial" w:hAnsi="Arial" w:hint="cs"/>
          <w:b/>
          <w:bCs/>
          <w:noProof w:val="0"/>
          <w:rtl/>
        </w:rPr>
        <w:t>קבוצת ברקת יזמות והקמת מבנים בע"מ נ' רשות המסים</w:t>
      </w:r>
      <w:r w:rsidR="00261AA5">
        <w:rPr>
          <w:rFonts w:ascii="Arial" w:hAnsi="Arial" w:hint="cs"/>
          <w:noProof w:val="0"/>
          <w:rtl/>
        </w:rPr>
        <w:t xml:space="preserve"> (27.7.23) פסקה 6) </w:t>
      </w:r>
      <w:r w:rsidR="006F49D8">
        <w:rPr>
          <w:rFonts w:ascii="Arial" w:hAnsi="Arial" w:hint="cs"/>
          <w:noProof w:val="0"/>
          <w:rtl/>
        </w:rPr>
        <w:t xml:space="preserve"> </w:t>
      </w:r>
      <w:r w:rsidR="00261AA5">
        <w:rPr>
          <w:rFonts w:ascii="Arial" w:hAnsi="Arial" w:hint="cs"/>
          <w:noProof w:val="0"/>
          <w:rtl/>
        </w:rPr>
        <w:t>ואילו נטל ההוכחה מוטל על המערער.</w:t>
      </w:r>
      <w:r w:rsidR="006F49D8">
        <w:rPr>
          <w:rFonts w:ascii="Arial" w:hAnsi="Arial" w:hint="cs"/>
          <w:noProof w:val="0"/>
          <w:rtl/>
        </w:rPr>
        <w:t xml:space="preserve"> משום כך מצאתי להותיר את שומת המשיב ברכיב זה על כנה. </w:t>
      </w:r>
    </w:p>
    <w:p w:rsidR="00A74D70" w:rsidRDefault="00A74D70" w:rsidP="00A74D70">
      <w:pPr>
        <w:spacing w:line="360" w:lineRule="auto"/>
        <w:jc w:val="both"/>
        <w:rPr>
          <w:rFonts w:ascii="Arial" w:hAnsi="Arial"/>
          <w:noProof w:val="0"/>
          <w:rtl/>
        </w:rPr>
      </w:pPr>
    </w:p>
    <w:p w:rsidR="006F49D8" w:rsidRPr="00261AA5" w:rsidRDefault="006F49D8" w:rsidP="00A74D70">
      <w:pPr>
        <w:spacing w:line="360" w:lineRule="auto"/>
        <w:jc w:val="both"/>
        <w:rPr>
          <w:rFonts w:ascii="Arial" w:hAnsi="Arial"/>
          <w:noProof w:val="0"/>
          <w:u w:val="single"/>
          <w:rtl/>
        </w:rPr>
      </w:pPr>
      <w:r w:rsidRPr="00261AA5">
        <w:rPr>
          <w:rFonts w:ascii="Arial" w:hAnsi="Arial" w:hint="cs"/>
          <w:noProof w:val="0"/>
          <w:u w:val="single"/>
          <w:rtl/>
        </w:rPr>
        <w:lastRenderedPageBreak/>
        <w:t>קנס גרעון</w:t>
      </w:r>
    </w:p>
    <w:p w:rsidR="006F49D8" w:rsidRDefault="006F49D8" w:rsidP="00261AA5">
      <w:pPr>
        <w:spacing w:line="360" w:lineRule="auto"/>
        <w:ind w:left="720" w:hanging="720"/>
        <w:jc w:val="both"/>
        <w:rPr>
          <w:rFonts w:ascii="Arial" w:hAnsi="Arial"/>
          <w:noProof w:val="0"/>
          <w:rtl/>
        </w:rPr>
      </w:pPr>
      <w:r>
        <w:rPr>
          <w:rFonts w:ascii="Arial" w:hAnsi="Arial" w:hint="cs"/>
          <w:noProof w:val="0"/>
          <w:rtl/>
        </w:rPr>
        <w:t>45.</w:t>
      </w:r>
      <w:r>
        <w:rPr>
          <w:rFonts w:ascii="Arial" w:hAnsi="Arial"/>
          <w:noProof w:val="0"/>
          <w:rtl/>
        </w:rPr>
        <w:tab/>
      </w:r>
      <w:r>
        <w:rPr>
          <w:rFonts w:ascii="Arial" w:hAnsi="Arial" w:hint="cs"/>
          <w:noProof w:val="0"/>
          <w:rtl/>
        </w:rPr>
        <w:t>לטענת המערער, השומה מבוססת רובה ככולה על הפרשי ההון. בהקשר זה נטען כי הסעיף העיקרי והמהותי שיצר את גידול ההון (בהיקף של 2.8 מיליון ₪) מתייחס ליתרת המערער בשותפות. נטען כי מדובר ביתרה חשבונאית, שכן במועד מכירת הנכס בשותפות,</w:t>
      </w:r>
      <w:r w:rsidR="00261AA5">
        <w:rPr>
          <w:rFonts w:ascii="Arial" w:hAnsi="Arial" w:hint="cs"/>
          <w:noProof w:val="0"/>
          <w:rtl/>
        </w:rPr>
        <w:t xml:space="preserve"> הצהרת ההון של שנת 2015 "איפסה" </w:t>
      </w:r>
      <w:r>
        <w:rPr>
          <w:rFonts w:ascii="Arial" w:hAnsi="Arial" w:hint="cs"/>
          <w:noProof w:val="0"/>
          <w:rtl/>
        </w:rPr>
        <w:t>את הפרשי ההון עד למכירה. נטען כי היתרה מהמ</w:t>
      </w:r>
      <w:r w:rsidR="00261AA5">
        <w:rPr>
          <w:rFonts w:ascii="Arial" w:hAnsi="Arial" w:hint="cs"/>
          <w:noProof w:val="0"/>
          <w:rtl/>
        </w:rPr>
        <w:t>כ</w:t>
      </w:r>
      <w:r>
        <w:rPr>
          <w:rFonts w:ascii="Arial" w:hAnsi="Arial" w:hint="cs"/>
          <w:noProof w:val="0"/>
          <w:rtl/>
        </w:rPr>
        <w:t>ירה והורדת הנכס בעקבות מכירתו הופיעו בהצהרת</w:t>
      </w:r>
      <w:r w:rsidR="00907F28">
        <w:rPr>
          <w:rFonts w:ascii="Arial" w:hAnsi="Arial" w:hint="cs"/>
          <w:noProof w:val="0"/>
          <w:rtl/>
        </w:rPr>
        <w:t xml:space="preserve"> ההון לשנת 2015 אשר נבדקה ונמצאה תקינה, בהתייחס להצהרת ההון המקורית לשנת 2012. לדעת המערער</w:t>
      </w:r>
      <w:r w:rsidR="00261AA5">
        <w:rPr>
          <w:rFonts w:ascii="Arial" w:hAnsi="Arial" w:hint="cs"/>
          <w:noProof w:val="0"/>
          <w:rtl/>
        </w:rPr>
        <w:t>,</w:t>
      </w:r>
      <w:r w:rsidR="00907F28">
        <w:rPr>
          <w:rFonts w:ascii="Arial" w:hAnsi="Arial" w:hint="cs"/>
          <w:noProof w:val="0"/>
          <w:rtl/>
        </w:rPr>
        <w:t xml:space="preserve"> בנסיבות אלה לא רשאי היה המשיב לטעון לרשלנות בעריכת דוחות המערער, לצורך חיובו בקנס גירעון. </w:t>
      </w:r>
    </w:p>
    <w:p w:rsidR="00907F28" w:rsidRDefault="00907F28" w:rsidP="00907F28">
      <w:pPr>
        <w:spacing w:line="360" w:lineRule="auto"/>
        <w:ind w:left="720" w:firstLine="60"/>
        <w:jc w:val="both"/>
        <w:rPr>
          <w:rFonts w:ascii="Arial" w:hAnsi="Arial"/>
          <w:noProof w:val="0"/>
          <w:rtl/>
        </w:rPr>
      </w:pPr>
    </w:p>
    <w:p w:rsidR="00907F28" w:rsidRDefault="00912851" w:rsidP="00912851">
      <w:pPr>
        <w:spacing w:line="360" w:lineRule="auto"/>
        <w:ind w:left="720" w:hanging="720"/>
        <w:jc w:val="both"/>
        <w:rPr>
          <w:rFonts w:ascii="Arial" w:hAnsi="Arial"/>
          <w:noProof w:val="0"/>
          <w:rtl/>
        </w:rPr>
      </w:pPr>
      <w:r>
        <w:rPr>
          <w:rFonts w:ascii="Arial" w:hAnsi="Arial" w:hint="cs"/>
          <w:noProof w:val="0"/>
          <w:rtl/>
        </w:rPr>
        <w:t>46</w:t>
      </w:r>
      <w:r w:rsidR="00907F28">
        <w:rPr>
          <w:rFonts w:ascii="Arial" w:hAnsi="Arial" w:hint="cs"/>
          <w:noProof w:val="0"/>
          <w:rtl/>
        </w:rPr>
        <w:t>.</w:t>
      </w:r>
      <w:r w:rsidR="00907F28">
        <w:rPr>
          <w:rFonts w:ascii="Arial" w:hAnsi="Arial" w:hint="cs"/>
          <w:noProof w:val="0"/>
          <w:rtl/>
        </w:rPr>
        <w:tab/>
        <w:t xml:space="preserve">המשיב טען כי אין לבטל את החיוב בקנס הגירעון, בין היתר, מאחר והסברי המערער לא נכללו בהצהרת ההון המקורית. </w:t>
      </w:r>
    </w:p>
    <w:p w:rsidR="00907F28" w:rsidRDefault="00907F28" w:rsidP="00907F28">
      <w:pPr>
        <w:spacing w:line="360" w:lineRule="auto"/>
        <w:ind w:left="1440" w:hanging="660"/>
        <w:jc w:val="both"/>
        <w:rPr>
          <w:rFonts w:ascii="Arial" w:hAnsi="Arial"/>
          <w:noProof w:val="0"/>
          <w:rtl/>
        </w:rPr>
      </w:pPr>
    </w:p>
    <w:p w:rsidR="007800A6" w:rsidRDefault="00912851" w:rsidP="00912851">
      <w:pPr>
        <w:spacing w:line="360" w:lineRule="auto"/>
        <w:ind w:left="720" w:hanging="720"/>
        <w:jc w:val="both"/>
        <w:rPr>
          <w:rFonts w:ascii="Arial" w:hAnsi="Arial"/>
          <w:noProof w:val="0"/>
          <w:rtl/>
        </w:rPr>
      </w:pPr>
      <w:r>
        <w:rPr>
          <w:rFonts w:ascii="Arial" w:hAnsi="Arial" w:hint="cs"/>
          <w:noProof w:val="0"/>
          <w:rtl/>
        </w:rPr>
        <w:t>47</w:t>
      </w:r>
      <w:r w:rsidR="00907F28">
        <w:rPr>
          <w:rFonts w:ascii="Arial" w:hAnsi="Arial" w:hint="cs"/>
          <w:noProof w:val="0"/>
          <w:rtl/>
        </w:rPr>
        <w:t>.</w:t>
      </w:r>
      <w:r w:rsidR="00907F28">
        <w:rPr>
          <w:rFonts w:ascii="Arial" w:hAnsi="Arial" w:hint="cs"/>
          <w:noProof w:val="0"/>
          <w:rtl/>
        </w:rPr>
        <w:tab/>
      </w:r>
      <w:r w:rsidR="00261AA5">
        <w:rPr>
          <w:rFonts w:ascii="Arial" w:hAnsi="Arial" w:hint="cs"/>
          <w:noProof w:val="0"/>
          <w:rtl/>
        </w:rPr>
        <w:t xml:space="preserve">כידוע, </w:t>
      </w:r>
      <w:r w:rsidR="00907F28">
        <w:rPr>
          <w:rFonts w:ascii="Arial" w:hAnsi="Arial" w:hint="cs"/>
          <w:noProof w:val="0"/>
          <w:rtl/>
        </w:rPr>
        <w:t xml:space="preserve">קנס גירעון הוא קנס שניתן להטיל על נישום שקיים גירעון של למעלה מ </w:t>
      </w:r>
      <w:r w:rsidR="00907F28">
        <w:rPr>
          <w:rFonts w:ascii="Arial" w:hAnsi="Arial"/>
          <w:noProof w:val="0"/>
          <w:rtl/>
        </w:rPr>
        <w:t>–</w:t>
      </w:r>
      <w:r w:rsidR="00907F28">
        <w:rPr>
          <w:rFonts w:ascii="Arial" w:hAnsi="Arial" w:hint="cs"/>
          <w:noProof w:val="0"/>
          <w:rtl/>
        </w:rPr>
        <w:t xml:space="preserve"> 50% בין סכום המס שבו הוא חויב לפי הדו"ח העצמי שהוגש מטעמו ובין המס שפקיד השומה קבע שעל הנישום  לשלם. התכלית העומדת ביסוד הסמכות לחייב את הנישום בקנס גיר</w:t>
      </w:r>
      <w:r>
        <w:rPr>
          <w:rFonts w:ascii="Arial" w:hAnsi="Arial" w:hint="cs"/>
          <w:noProof w:val="0"/>
          <w:rtl/>
        </w:rPr>
        <w:t xml:space="preserve">עון היא הרתעת נישומים מפני הגשת דיווחים שאינם נכונים ועל מנת שפקיד השומה יוכל להסתמך על מנגנון הדיווח העצמי (ע"א 3454/21 </w:t>
      </w:r>
      <w:r>
        <w:rPr>
          <w:rFonts w:ascii="Arial" w:hAnsi="Arial" w:hint="cs"/>
          <w:b/>
          <w:bCs/>
          <w:noProof w:val="0"/>
          <w:rtl/>
        </w:rPr>
        <w:t>יינות ביתן בע"מ נ' פקיד שומה אשקלון</w:t>
      </w:r>
      <w:r>
        <w:rPr>
          <w:rFonts w:ascii="Arial" w:hAnsi="Arial" w:hint="cs"/>
          <w:noProof w:val="0"/>
          <w:rtl/>
        </w:rPr>
        <w:t xml:space="preserve"> (12.7.23) פסקה 16 (להלן: "</w:t>
      </w:r>
      <w:r w:rsidRPr="007800A6">
        <w:rPr>
          <w:rFonts w:ascii="Arial" w:hAnsi="Arial" w:hint="cs"/>
          <w:b/>
          <w:bCs/>
          <w:noProof w:val="0"/>
          <w:rtl/>
        </w:rPr>
        <w:t>עניין יינות ביתן</w:t>
      </w:r>
      <w:r>
        <w:rPr>
          <w:rFonts w:ascii="Arial" w:hAnsi="Arial" w:hint="cs"/>
          <w:noProof w:val="0"/>
          <w:rtl/>
        </w:rPr>
        <w:t xml:space="preserve">"). נטל ההוכחה לעניין ההתרשלות לצורך הטלת קנס הגירעון רובץ </w:t>
      </w:r>
    </w:p>
    <w:p w:rsidR="00907F28" w:rsidRDefault="007800A6" w:rsidP="00912851">
      <w:pPr>
        <w:spacing w:line="360" w:lineRule="auto"/>
        <w:ind w:left="720" w:hanging="720"/>
        <w:jc w:val="both"/>
        <w:rPr>
          <w:rFonts w:ascii="Arial" w:hAnsi="Arial"/>
          <w:noProof w:val="0"/>
          <w:rtl/>
        </w:rPr>
      </w:pPr>
      <w:r>
        <w:rPr>
          <w:rFonts w:ascii="Arial" w:hAnsi="Arial"/>
          <w:noProof w:val="0"/>
          <w:rtl/>
        </w:rPr>
        <w:tab/>
      </w:r>
      <w:r w:rsidR="00912851">
        <w:rPr>
          <w:rFonts w:ascii="Arial" w:hAnsi="Arial" w:hint="cs"/>
          <w:noProof w:val="0"/>
          <w:rtl/>
        </w:rPr>
        <w:t xml:space="preserve">על כתפי הנישום והוא שצריך להוכיח לפקיד השומה כי לא התרשל בעריכת הדיווח (עניין יינות ביתן, פסקה 17). בעניין יינות ביתן נקבע (פסקה 17) כך: </w:t>
      </w:r>
    </w:p>
    <w:p w:rsidR="00261AA5" w:rsidRDefault="00261AA5" w:rsidP="00912851">
      <w:pPr>
        <w:spacing w:line="360" w:lineRule="auto"/>
        <w:ind w:left="720" w:hanging="720"/>
        <w:jc w:val="both"/>
        <w:rPr>
          <w:rFonts w:ascii="Arial" w:hAnsi="Arial"/>
          <w:noProof w:val="0"/>
          <w:rtl/>
        </w:rPr>
      </w:pPr>
    </w:p>
    <w:p w:rsidR="00912851" w:rsidRPr="00912851" w:rsidRDefault="00912851" w:rsidP="00912851">
      <w:pPr>
        <w:spacing w:line="360" w:lineRule="auto"/>
        <w:ind w:left="1440" w:hanging="660"/>
        <w:jc w:val="both"/>
        <w:rPr>
          <w:rFonts w:ascii="Arial" w:hAnsi="Arial"/>
          <w:b/>
          <w:bCs/>
          <w:noProof w:val="0"/>
          <w:rtl/>
        </w:rPr>
      </w:pPr>
      <w:r>
        <w:rPr>
          <w:rFonts w:ascii="Arial" w:hAnsi="Arial"/>
          <w:noProof w:val="0"/>
          <w:rtl/>
        </w:rPr>
        <w:tab/>
      </w:r>
      <w:r>
        <w:rPr>
          <w:rFonts w:ascii="Arial" w:hAnsi="Arial" w:hint="cs"/>
          <w:noProof w:val="0"/>
          <w:rtl/>
        </w:rPr>
        <w:t>"</w:t>
      </w:r>
      <w:r>
        <w:rPr>
          <w:rFonts w:ascii="Arial" w:hAnsi="Arial" w:hint="cs"/>
          <w:b/>
          <w:bCs/>
          <w:noProof w:val="0"/>
          <w:rtl/>
        </w:rPr>
        <w:t xml:space="preserve">יש להשקיף על התמונה הכוללת המצטיירת מן הדיווח שלו, בהינתן הפגמים המצטברים שנפלו בו. הנטל להוכחת אי התרשלות רובץ על כתפי הנישום עצמו, וככל שהתמונה הכוללת חמורה יותר, עליו להציג הסברים משכנעים יותר ביחס להתנהלותו. בסופו של דבר צריכים אותם הסברים להניח את הדעת בעניין היסוד הנפשי שעמד בבסיס הפגמים בדיווח, כך שיהיה ברור כי מקורם בפעולות שנעשו שלא מתוך התרשלות". </w:t>
      </w:r>
    </w:p>
    <w:p w:rsidR="00912851" w:rsidRDefault="00912851" w:rsidP="00912851">
      <w:pPr>
        <w:spacing w:line="360" w:lineRule="auto"/>
        <w:ind w:left="1440" w:hanging="660"/>
        <w:jc w:val="both"/>
        <w:rPr>
          <w:rFonts w:ascii="Arial" w:hAnsi="Arial"/>
          <w:noProof w:val="0"/>
          <w:rtl/>
        </w:rPr>
      </w:pPr>
    </w:p>
    <w:p w:rsidR="00907F28" w:rsidRDefault="00912851" w:rsidP="003C0325">
      <w:pPr>
        <w:spacing w:line="360" w:lineRule="auto"/>
        <w:ind w:left="720" w:hanging="720"/>
        <w:jc w:val="both"/>
        <w:rPr>
          <w:rFonts w:ascii="Arial" w:hAnsi="Arial"/>
          <w:noProof w:val="0"/>
          <w:rtl/>
        </w:rPr>
      </w:pPr>
      <w:r>
        <w:rPr>
          <w:rFonts w:ascii="Arial" w:hAnsi="Arial" w:hint="cs"/>
          <w:noProof w:val="0"/>
          <w:rtl/>
        </w:rPr>
        <w:t>48</w:t>
      </w:r>
      <w:r w:rsidR="00261AA5">
        <w:rPr>
          <w:rFonts w:ascii="Arial" w:hAnsi="Arial" w:hint="cs"/>
          <w:noProof w:val="0"/>
          <w:rtl/>
        </w:rPr>
        <w:t>.</w:t>
      </w:r>
      <w:r w:rsidR="00261AA5">
        <w:rPr>
          <w:rFonts w:ascii="Arial" w:hAnsi="Arial" w:hint="cs"/>
          <w:noProof w:val="0"/>
          <w:rtl/>
        </w:rPr>
        <w:tab/>
        <w:t>בהינתן התכלית של החיוב בקנס גירעון, בנוגע ליכולת המשיב להסתמך על מנגנון הדיווח העצמי, לא ניתן להתעלם מאופן דיווחי המערער על הכנסותיו</w:t>
      </w:r>
      <w:r w:rsidR="003C0325">
        <w:rPr>
          <w:rFonts w:ascii="Arial" w:hAnsi="Arial" w:hint="cs"/>
          <w:noProof w:val="0"/>
          <w:rtl/>
        </w:rPr>
        <w:t xml:space="preserve">, לאור קבלת עמדת המשיב (חלקית) לפיה יש להוסיף להכנסות המדווחות הפרשים שלא ניתן להם הסבר. העובדה שהוגשה הצהרת הון מאוחרת לשנת 2015 והשלכותיה, אין בה כדי לאיין את הדיווח הרשלני </w:t>
      </w:r>
      <w:r w:rsidR="003C0325">
        <w:rPr>
          <w:rFonts w:ascii="Arial" w:hAnsi="Arial" w:hint="cs"/>
          <w:noProof w:val="0"/>
          <w:rtl/>
        </w:rPr>
        <w:lastRenderedPageBreak/>
        <w:t xml:space="preserve">על הכנסות המערער. </w:t>
      </w:r>
      <w:r w:rsidR="00907F28">
        <w:rPr>
          <w:rFonts w:ascii="Arial" w:hAnsi="Arial" w:hint="cs"/>
          <w:noProof w:val="0"/>
          <w:rtl/>
        </w:rPr>
        <w:t xml:space="preserve">בנסיבות אלה, ואף לנוכח טענותיו </w:t>
      </w:r>
      <w:r w:rsidR="003C0325">
        <w:rPr>
          <w:rFonts w:ascii="Arial" w:hAnsi="Arial" w:hint="cs"/>
          <w:noProof w:val="0"/>
          <w:rtl/>
        </w:rPr>
        <w:t xml:space="preserve">של המערער </w:t>
      </w:r>
      <w:r w:rsidR="00907F28">
        <w:rPr>
          <w:rFonts w:ascii="Arial" w:hAnsi="Arial" w:hint="cs"/>
          <w:noProof w:val="0"/>
          <w:rtl/>
        </w:rPr>
        <w:t>בעניין יתרת</w:t>
      </w:r>
      <w:r w:rsidR="003C0325">
        <w:rPr>
          <w:rFonts w:ascii="Arial" w:hAnsi="Arial" w:hint="cs"/>
          <w:noProof w:val="0"/>
          <w:rtl/>
        </w:rPr>
        <w:t>ו</w:t>
      </w:r>
      <w:r w:rsidR="00907F28">
        <w:rPr>
          <w:rFonts w:ascii="Arial" w:hAnsi="Arial" w:hint="cs"/>
          <w:noProof w:val="0"/>
          <w:rtl/>
        </w:rPr>
        <w:t xml:space="preserve"> בשותפות, לא מצאתי מקום לביטול החיוב בקנס הגירעון. </w:t>
      </w:r>
    </w:p>
    <w:p w:rsidR="003C0325" w:rsidRDefault="003C0325" w:rsidP="003C0325">
      <w:pPr>
        <w:spacing w:line="360" w:lineRule="auto"/>
        <w:ind w:left="720" w:hanging="720"/>
        <w:jc w:val="both"/>
        <w:rPr>
          <w:rFonts w:ascii="Arial" w:hAnsi="Arial"/>
          <w:noProof w:val="0"/>
          <w:rtl/>
        </w:rPr>
      </w:pPr>
    </w:p>
    <w:p w:rsidR="003C0325" w:rsidRPr="003C0325" w:rsidRDefault="003C0325" w:rsidP="003C0325">
      <w:pPr>
        <w:spacing w:line="360" w:lineRule="auto"/>
        <w:ind w:left="720" w:hanging="720"/>
        <w:jc w:val="both"/>
        <w:rPr>
          <w:rFonts w:ascii="Arial" w:hAnsi="Arial"/>
          <w:b/>
          <w:bCs/>
          <w:noProof w:val="0"/>
          <w:u w:val="single"/>
          <w:rtl/>
        </w:rPr>
      </w:pPr>
      <w:r w:rsidRPr="003C0325">
        <w:rPr>
          <w:rFonts w:ascii="Arial" w:hAnsi="Arial" w:hint="cs"/>
          <w:b/>
          <w:bCs/>
          <w:noProof w:val="0"/>
          <w:u w:val="single"/>
          <w:rtl/>
        </w:rPr>
        <w:t>סוף דבר</w:t>
      </w:r>
    </w:p>
    <w:p w:rsidR="00A74D70" w:rsidRDefault="00A74D70" w:rsidP="00A74D70">
      <w:pPr>
        <w:spacing w:line="360" w:lineRule="auto"/>
        <w:jc w:val="both"/>
        <w:rPr>
          <w:rFonts w:ascii="Arial" w:hAnsi="Arial"/>
          <w:noProof w:val="0"/>
          <w:rtl/>
        </w:rPr>
      </w:pPr>
    </w:p>
    <w:p w:rsidR="00912851" w:rsidRDefault="003C0325" w:rsidP="00A74D70">
      <w:pPr>
        <w:spacing w:line="360" w:lineRule="auto"/>
        <w:jc w:val="both"/>
        <w:rPr>
          <w:rFonts w:ascii="Arial" w:hAnsi="Arial"/>
          <w:noProof w:val="0"/>
          <w:rtl/>
        </w:rPr>
      </w:pPr>
      <w:r>
        <w:rPr>
          <w:rFonts w:ascii="Arial" w:hAnsi="Arial" w:hint="cs"/>
          <w:noProof w:val="0"/>
          <w:rtl/>
        </w:rPr>
        <w:t>49.</w:t>
      </w:r>
      <w:r>
        <w:rPr>
          <w:rFonts w:ascii="Arial" w:hAnsi="Arial" w:hint="cs"/>
          <w:noProof w:val="0"/>
          <w:rtl/>
        </w:rPr>
        <w:tab/>
        <w:t>לאור כל האמור לע</w:t>
      </w:r>
      <w:r w:rsidR="00912851">
        <w:rPr>
          <w:rFonts w:ascii="Arial" w:hAnsi="Arial" w:hint="cs"/>
          <w:noProof w:val="0"/>
          <w:rtl/>
        </w:rPr>
        <w:t xml:space="preserve">יל, ניתן לסכם את תוצאות הערעורים כך: </w:t>
      </w:r>
    </w:p>
    <w:p w:rsidR="00912851" w:rsidRDefault="00DD3135" w:rsidP="00DD313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אין להתערב בהחלטת המשיב שלא להכיר בהלוואות הנטענות מגלבוע ומקצנשטיין, בסך של 1.86 מיליון ₪. </w:t>
      </w:r>
    </w:p>
    <w:p w:rsidR="00DD3135" w:rsidRDefault="00DD3135" w:rsidP="00DD313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יש להתערב באופן חלקי בהחלטת המשיב להגדיל את שווי יתרת המערער בשותפות, באופן שהפרש ההון הבלתי מוסבר יעמוד על 1.7 מיליון ₪, במקום 2.8 מיליון ₪, כפי שנקבע בשומה. </w:t>
      </w:r>
    </w:p>
    <w:p w:rsidR="00DD3135" w:rsidRDefault="00DD3135" w:rsidP="00DD3135">
      <w:pPr>
        <w:spacing w:line="360" w:lineRule="auto"/>
        <w:ind w:left="1440" w:hanging="720"/>
        <w:jc w:val="both"/>
        <w:rPr>
          <w:rFonts w:ascii="Arial" w:hAnsi="Arial"/>
          <w:noProof w:val="0"/>
          <w:rtl/>
        </w:rPr>
      </w:pPr>
      <w:r>
        <w:rPr>
          <w:rFonts w:ascii="Arial" w:hAnsi="Arial" w:hint="cs"/>
          <w:noProof w:val="0"/>
          <w:rtl/>
        </w:rPr>
        <w:t>ג.</w:t>
      </w:r>
      <w:r>
        <w:rPr>
          <w:rFonts w:ascii="Arial" w:hAnsi="Arial"/>
          <w:noProof w:val="0"/>
          <w:rtl/>
        </w:rPr>
        <w:tab/>
      </w:r>
      <w:r>
        <w:rPr>
          <w:rFonts w:ascii="Arial" w:hAnsi="Arial" w:hint="cs"/>
          <w:noProof w:val="0"/>
          <w:rtl/>
        </w:rPr>
        <w:t xml:space="preserve"> אין להתערב בהחלטת המשיב בסוגיית הוצאות המחיה, לצורך חישוב הפרש ההון הבלתי מוסבר. </w:t>
      </w:r>
    </w:p>
    <w:p w:rsidR="00DD3135" w:rsidRDefault="00DD3135" w:rsidP="003C0325">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יש להתערב בהחלטת המשיב בסוגיית ההכרה בהוצאות המימון בשותפות (</w:t>
      </w:r>
      <w:r w:rsidR="003C0325">
        <w:rPr>
          <w:rFonts w:ascii="Arial" w:hAnsi="Arial" w:hint="cs"/>
          <w:noProof w:val="0"/>
          <w:rtl/>
        </w:rPr>
        <w:t>ש</w:t>
      </w:r>
      <w:r>
        <w:rPr>
          <w:rFonts w:ascii="Arial" w:hAnsi="Arial" w:hint="cs"/>
          <w:noProof w:val="0"/>
          <w:rtl/>
        </w:rPr>
        <w:t xml:space="preserve">דרש המערער כנגד הכנסות משכירות) ויש להכיר בהוצאות אלה. </w:t>
      </w:r>
    </w:p>
    <w:p w:rsidR="00DD3135" w:rsidRDefault="00DD3135" w:rsidP="00DD3135">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אין להתערב בהחלטת המשיב להתייחס ליתרת הבעלים בחב' אידיאל סולר כהכנסה ממשכורת אצל המערער. </w:t>
      </w:r>
    </w:p>
    <w:p w:rsidR="00DD3135" w:rsidRDefault="00DD3135" w:rsidP="003C0325">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 xml:space="preserve">אין להתערב בהחלטת המשיב להוסיף להכנסת המערער דמי שכירות </w:t>
      </w:r>
      <w:r w:rsidR="003C0325">
        <w:rPr>
          <w:rFonts w:ascii="Arial" w:hAnsi="Arial" w:hint="cs"/>
          <w:noProof w:val="0"/>
          <w:rtl/>
        </w:rPr>
        <w:t>מ</w:t>
      </w:r>
      <w:r>
        <w:rPr>
          <w:rFonts w:ascii="Arial" w:hAnsi="Arial" w:hint="cs"/>
          <w:noProof w:val="0"/>
          <w:rtl/>
        </w:rPr>
        <w:t xml:space="preserve">חב' בזק שלא דווחו (בסך 39,840 ₪). </w:t>
      </w:r>
    </w:p>
    <w:p w:rsidR="00DD3135" w:rsidRDefault="00DD3135" w:rsidP="00DD3135">
      <w:pPr>
        <w:spacing w:line="360" w:lineRule="auto"/>
        <w:ind w:left="1440" w:hanging="720"/>
        <w:jc w:val="both"/>
        <w:rPr>
          <w:rFonts w:ascii="Arial" w:hAnsi="Arial"/>
          <w:noProof w:val="0"/>
          <w:rtl/>
        </w:rPr>
      </w:pPr>
      <w:r>
        <w:rPr>
          <w:rFonts w:ascii="Arial" w:hAnsi="Arial" w:hint="cs"/>
          <w:noProof w:val="0"/>
          <w:rtl/>
        </w:rPr>
        <w:t>ז.</w:t>
      </w:r>
      <w:r>
        <w:rPr>
          <w:rFonts w:ascii="Arial" w:hAnsi="Arial" w:hint="cs"/>
          <w:noProof w:val="0"/>
          <w:rtl/>
        </w:rPr>
        <w:tab/>
        <w:t xml:space="preserve">אין להתערב בהחלטת המשיב לחייב את המערער בקנס גירעון. </w:t>
      </w:r>
    </w:p>
    <w:p w:rsidR="00DD3135" w:rsidRDefault="00DD3135" w:rsidP="00DD3135">
      <w:pPr>
        <w:spacing w:line="360" w:lineRule="auto"/>
        <w:jc w:val="both"/>
        <w:rPr>
          <w:rFonts w:ascii="Arial" w:hAnsi="Arial"/>
          <w:noProof w:val="0"/>
          <w:rtl/>
        </w:rPr>
      </w:pPr>
    </w:p>
    <w:p w:rsidR="00DD3135" w:rsidRDefault="00DD3135" w:rsidP="000C36A9">
      <w:pPr>
        <w:spacing w:line="360" w:lineRule="auto"/>
        <w:ind w:left="720" w:hanging="720"/>
        <w:jc w:val="both"/>
        <w:rPr>
          <w:rFonts w:ascii="Arial" w:hAnsi="Arial"/>
          <w:noProof w:val="0"/>
          <w:rtl/>
        </w:rPr>
      </w:pPr>
      <w:r>
        <w:rPr>
          <w:rFonts w:ascii="Arial" w:hAnsi="Arial" w:hint="cs"/>
          <w:noProof w:val="0"/>
          <w:rtl/>
        </w:rPr>
        <w:t>50.</w:t>
      </w:r>
      <w:r>
        <w:rPr>
          <w:rFonts w:ascii="Arial" w:hAnsi="Arial" w:hint="cs"/>
          <w:noProof w:val="0"/>
          <w:rtl/>
        </w:rPr>
        <w:tab/>
        <w:t>התוצאה הסופית היא כי במרבית הסוגיות שבמחלוקת ה</w:t>
      </w:r>
      <w:r w:rsidR="003C0325">
        <w:rPr>
          <w:rFonts w:ascii="Arial" w:hAnsi="Arial" w:hint="cs"/>
          <w:noProof w:val="0"/>
          <w:rtl/>
        </w:rPr>
        <w:t>ת</w:t>
      </w:r>
      <w:r>
        <w:rPr>
          <w:rFonts w:ascii="Arial" w:hAnsi="Arial" w:hint="cs"/>
          <w:noProof w:val="0"/>
          <w:rtl/>
        </w:rPr>
        <w:t xml:space="preserve">קבלה עמדת המשיב, אף כי מבחינת סכומי המס שבמחלוקת התקבלה באופן חלקי טענה מהותית מטעם המערער, אשר הפחיתה מהפרשי ההון הבלתי מוסברים סך של כ </w:t>
      </w:r>
      <w:r>
        <w:rPr>
          <w:rFonts w:ascii="Arial" w:hAnsi="Arial"/>
          <w:noProof w:val="0"/>
          <w:rtl/>
        </w:rPr>
        <w:t>–</w:t>
      </w:r>
      <w:r w:rsidR="003C0325">
        <w:rPr>
          <w:rFonts w:ascii="Arial" w:hAnsi="Arial" w:hint="cs"/>
          <w:noProof w:val="0"/>
          <w:rtl/>
        </w:rPr>
        <w:t xml:space="preserve"> 1.1 מיליון  ₪.</w:t>
      </w:r>
      <w:r w:rsidR="000C36A9">
        <w:rPr>
          <w:rFonts w:ascii="Arial" w:hAnsi="Arial" w:hint="cs"/>
          <w:noProof w:val="0"/>
          <w:rtl/>
        </w:rPr>
        <w:t xml:space="preserve"> </w:t>
      </w:r>
      <w:r>
        <w:rPr>
          <w:rFonts w:ascii="Arial" w:hAnsi="Arial" w:hint="cs"/>
          <w:noProof w:val="0"/>
          <w:rtl/>
        </w:rPr>
        <w:t xml:space="preserve"> אשר על כן, לעניין הוצאות המשפט, נקבע בזאת כי המערער ישלם למשיב הוצאות ושכ"ט עו"ד בסכום כולל של 2</w:t>
      </w:r>
      <w:r w:rsidR="000C36A9">
        <w:rPr>
          <w:rFonts w:ascii="Arial" w:hAnsi="Arial" w:hint="cs"/>
          <w:noProof w:val="0"/>
          <w:rtl/>
        </w:rPr>
        <w:t>0</w:t>
      </w:r>
      <w:r>
        <w:rPr>
          <w:rFonts w:ascii="Arial" w:hAnsi="Arial" w:hint="cs"/>
          <w:noProof w:val="0"/>
          <w:rtl/>
        </w:rPr>
        <w:t xml:space="preserve">,000 ₪. </w:t>
      </w:r>
    </w:p>
    <w:p w:rsidR="008F2785" w:rsidRDefault="00DD3135" w:rsidP="000C36A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במס</w:t>
      </w:r>
      <w:r w:rsidR="000C36A9">
        <w:rPr>
          <w:rFonts w:ascii="Arial" w:hAnsi="Arial" w:hint="cs"/>
          <w:noProof w:val="0"/>
          <w:rtl/>
        </w:rPr>
        <w:t>ג</w:t>
      </w:r>
      <w:r>
        <w:rPr>
          <w:rFonts w:ascii="Arial" w:hAnsi="Arial" w:hint="cs"/>
          <w:noProof w:val="0"/>
          <w:rtl/>
        </w:rPr>
        <w:t>רת זו נלקחה בחשבון גם ההוצאה ששולמה עבור הקלטת דיון ההוכחות ותמלול הפרוטו</w:t>
      </w:r>
      <w:r w:rsidR="008F2785">
        <w:rPr>
          <w:rFonts w:ascii="Arial" w:hAnsi="Arial" w:hint="cs"/>
          <w:noProof w:val="0"/>
          <w:rtl/>
        </w:rPr>
        <w:t>קול. הסכום הנ"ל ישולם בתוך 45 ימים מהיום ולא</w:t>
      </w:r>
      <w:r w:rsidR="000C36A9">
        <w:rPr>
          <w:rFonts w:ascii="Arial" w:hAnsi="Arial" w:hint="cs"/>
          <w:noProof w:val="0"/>
          <w:rtl/>
        </w:rPr>
        <w:t>ח</w:t>
      </w:r>
      <w:r w:rsidR="008F2785">
        <w:rPr>
          <w:rFonts w:ascii="Arial" w:hAnsi="Arial" w:hint="cs"/>
          <w:noProof w:val="0"/>
          <w:rtl/>
        </w:rPr>
        <w:t xml:space="preserve">ר מועד זה, יתווספו אליו הפרשי הצמדה וריבית כחוק. </w:t>
      </w:r>
    </w:p>
    <w:p w:rsidR="008F2785" w:rsidRDefault="008F2785" w:rsidP="00DD3135">
      <w:pPr>
        <w:spacing w:line="360" w:lineRule="auto"/>
        <w:ind w:left="720" w:hanging="720"/>
        <w:jc w:val="both"/>
        <w:rPr>
          <w:rFonts w:ascii="Arial" w:hAnsi="Arial"/>
          <w:noProof w:val="0"/>
          <w:rtl/>
        </w:rPr>
      </w:pPr>
    </w:p>
    <w:p w:rsidR="008F2785" w:rsidRDefault="000C36A9" w:rsidP="008F2785">
      <w:pPr>
        <w:spacing w:line="360" w:lineRule="auto"/>
        <w:ind w:left="720" w:hanging="720"/>
        <w:jc w:val="both"/>
        <w:rPr>
          <w:rFonts w:ascii="Arial" w:hAnsi="Arial"/>
          <w:b/>
          <w:bCs/>
          <w:noProof w:val="0"/>
          <w:u w:val="single"/>
          <w:rtl/>
        </w:rPr>
      </w:pPr>
      <w:r>
        <w:rPr>
          <w:rFonts w:ascii="Arial" w:hAnsi="Arial" w:hint="cs"/>
          <w:b/>
          <w:bCs/>
          <w:noProof w:val="0"/>
          <w:u w:val="single"/>
          <w:rtl/>
        </w:rPr>
        <w:t>המזכירות תמציא את פסק הדין</w:t>
      </w:r>
      <w:r w:rsidR="008F2785" w:rsidRPr="008F2785">
        <w:rPr>
          <w:rFonts w:ascii="Arial" w:hAnsi="Arial" w:hint="cs"/>
          <w:b/>
          <w:bCs/>
          <w:noProof w:val="0"/>
          <w:u w:val="single"/>
          <w:rtl/>
        </w:rPr>
        <w:t xml:space="preserve"> לב"כ הצדדים. </w:t>
      </w:r>
    </w:p>
    <w:p w:rsidR="000C36A9" w:rsidRPr="000C36A9" w:rsidRDefault="000C36A9" w:rsidP="008F2785">
      <w:pPr>
        <w:spacing w:line="360" w:lineRule="auto"/>
        <w:ind w:left="720" w:hanging="720"/>
        <w:jc w:val="both"/>
        <w:rPr>
          <w:rFonts w:ascii="Arial" w:hAnsi="Arial"/>
          <w:noProof w:val="0"/>
          <w:u w:val="single"/>
          <w:rtl/>
        </w:rPr>
      </w:pPr>
    </w:p>
    <w:p w:rsidR="008F2785" w:rsidRPr="008F2785" w:rsidRDefault="008F2785" w:rsidP="00DD3135">
      <w:pPr>
        <w:spacing w:line="360" w:lineRule="auto"/>
        <w:ind w:left="720" w:hanging="720"/>
        <w:jc w:val="both"/>
        <w:rPr>
          <w:rFonts w:ascii="Arial" w:hAnsi="Arial"/>
          <w:b/>
          <w:bCs/>
          <w:noProof w:val="0"/>
          <w:u w:val="single"/>
          <w:rtl/>
        </w:rPr>
      </w:pPr>
      <w:r w:rsidRPr="000C36A9">
        <w:rPr>
          <w:rFonts w:ascii="Arial" w:hAnsi="Arial" w:hint="cs"/>
          <w:noProof w:val="0"/>
          <w:u w:val="single"/>
          <w:rtl/>
        </w:rPr>
        <w:t>ניתן לפרסם את פסק הדין</w:t>
      </w:r>
      <w:r w:rsidRPr="008F2785">
        <w:rPr>
          <w:rFonts w:ascii="Arial" w:hAnsi="Arial" w:hint="cs"/>
          <w:b/>
          <w:bCs/>
          <w:noProof w:val="0"/>
          <w:u w:val="single"/>
          <w:rtl/>
        </w:rPr>
        <w:t xml:space="preserve">. </w:t>
      </w:r>
    </w:p>
    <w:p w:rsidR="008F2785" w:rsidRDefault="008F2785" w:rsidP="00DD3135">
      <w:pPr>
        <w:spacing w:line="360" w:lineRule="auto"/>
        <w:ind w:left="720" w:hanging="720"/>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292132187"/>
          <w:text w:multiLine="1"/>
        </w:sdtPr>
        <w:sdtEndPr/>
        <w:sdtContent>
          <w:r>
            <w:rPr>
              <w:rFonts w:ascii="Arial" w:hAnsi="Arial"/>
              <w:noProof w:val="0"/>
              <w:rtl/>
            </w:rPr>
            <w:t>י"ב אלול תשפ"ג</w:t>
          </w:r>
        </w:sdtContent>
      </w:sdt>
      <w:r>
        <w:rPr>
          <w:rFonts w:ascii="Arial" w:hAnsi="Arial"/>
          <w:noProof w:val="0"/>
          <w:rtl/>
        </w:rPr>
        <w:t xml:space="preserve">, </w:t>
      </w:r>
      <w:sdt>
        <w:sdtPr>
          <w:rPr>
            <w:rtl/>
          </w:rPr>
          <w:alias w:val="1456"/>
          <w:tag w:val="1456"/>
          <w:id w:val="1108006587"/>
          <w:text w:multiLine="1"/>
        </w:sdtPr>
        <w:sdtEndPr/>
        <w:sdtContent>
          <w:r>
            <w:rPr>
              <w:rFonts w:ascii="Arial" w:hAnsi="Arial"/>
              <w:noProof w:val="0"/>
              <w:rtl/>
            </w:rPr>
            <w:t>29 אוגוסט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1A2245">
      <w:pPr>
        <w:spacing w:line="360" w:lineRule="auto"/>
        <w:ind w:left="3600" w:firstLine="720"/>
        <w:jc w:val="both"/>
      </w:pPr>
      <w:sdt>
        <w:sdtPr>
          <w:rPr>
            <w:rtl/>
          </w:rPr>
          <w:alias w:val="MergeField"/>
          <w:tag w:val="1237"/>
          <w:id w:val="65314184"/>
        </w:sdtPr>
        <w:sdtEndPr/>
        <w:sdtContent>
          <w:r w:rsidR="002F3BFC">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742950"/>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BFC" w:rsidRDefault="002F3BFC">
      <w:r>
        <w:separator/>
      </w:r>
    </w:p>
  </w:endnote>
  <w:endnote w:type="continuationSeparator" w:id="0">
    <w:p w:rsidR="002F3BFC" w:rsidRDefault="002F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45" w:rsidRDefault="001A224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A224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A2245">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45" w:rsidRDefault="001A224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BFC" w:rsidRDefault="002F3BFC">
      <w:r>
        <w:separator/>
      </w:r>
    </w:p>
  </w:footnote>
  <w:footnote w:type="continuationSeparator" w:id="0">
    <w:p w:rsidR="002F3BFC" w:rsidRDefault="002F3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45" w:rsidRDefault="001A22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29 אוגוסט 2023</w:t>
              </w:r>
            </w:p>
          </w:tc>
        </w:sdtContent>
      </w:sdt>
    </w:tr>
    <w:bookmarkStart w:id="0" w:name="_GoBack"/>
    <w:tr w:rsidR="00694556">
      <w:trPr>
        <w:trHeight w:val="337"/>
        <w:jc w:val="center"/>
      </w:trPr>
      <w:tc>
        <w:tcPr>
          <w:tcW w:w="8721" w:type="dxa"/>
          <w:gridSpan w:val="2"/>
        </w:tcPr>
        <w:p w:rsidR="00694556" w:rsidRDefault="001A2245">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15025-01-18</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ברששת נ' פקיד שומה ירושלים סניף כנפי נשרים</w:t>
              </w:r>
            </w:sdtContent>
          </w:sdt>
        </w:p>
        <w:p w:rsidR="00694556" w:rsidRDefault="00694556">
          <w:pPr>
            <w:rPr>
              <w:rtl/>
            </w:rPr>
          </w:pPr>
        </w:p>
        <w:p w:rsidR="00694556" w:rsidRDefault="001A2245">
          <w:pPr>
            <w:rPr>
              <w:b/>
              <w:bCs/>
              <w:noProof w:val="0"/>
              <w:sz w:val="26"/>
              <w:szCs w:val="26"/>
              <w:rtl/>
            </w:rPr>
          </w:pPr>
          <w:sdt>
            <w:sdtPr>
              <w:rPr>
                <w:rtl/>
              </w:rPr>
              <w:alias w:val="1170"/>
              <w:tag w:val="1170"/>
              <w:id w:val="-685046380"/>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1117636695"/>
              <w:text w:multiLine="1"/>
            </w:sdtPr>
            <w:sdtEndPr/>
            <w:sdtContent>
              <w:r w:rsidR="00986101">
                <w:rPr>
                  <w:b/>
                  <w:bCs/>
                  <w:noProof w:val="0"/>
                  <w:sz w:val="26"/>
                  <w:szCs w:val="26"/>
                  <w:rtl/>
                </w:rPr>
                <w:t>53454-11-18</w:t>
              </w:r>
            </w:sdtContent>
          </w:sdt>
          <w:r w:rsidR="00005C8B">
            <w:rPr>
              <w:b/>
              <w:bCs/>
              <w:noProof w:val="0"/>
              <w:sz w:val="26"/>
              <w:szCs w:val="26"/>
              <w:rtl/>
            </w:rPr>
            <w:t xml:space="preserve"> </w:t>
          </w:r>
          <w:sdt>
            <w:sdtPr>
              <w:rPr>
                <w:rtl/>
              </w:rPr>
              <w:alias w:val="1172"/>
              <w:tag w:val="1172"/>
              <w:id w:val="669906871"/>
              <w:text w:multiLine="1"/>
            </w:sdtPr>
            <w:sdtEndPr/>
            <w:sdtContent>
              <w:r w:rsidR="00986101">
                <w:rPr>
                  <w:b/>
                  <w:bCs/>
                  <w:noProof w:val="0"/>
                  <w:sz w:val="26"/>
                  <w:szCs w:val="26"/>
                  <w:rtl/>
                </w:rPr>
                <w:t>ברששת נ' פקיד שומה ירושלים 1</w:t>
              </w:r>
            </w:sdtContent>
          </w:sdt>
        </w:p>
        <w:bookmarkEnd w:id="0"/>
        <w:p w:rsidR="00694556" w:rsidRDefault="00694556">
          <w:pPr>
            <w:rPr>
              <w:rtl/>
            </w:rPr>
          </w:pPr>
        </w:p>
        <w:p w:rsidR="00A307AF" w:rsidRDefault="00A307AF">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245" w:rsidRDefault="001A22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B3E9E"/>
    <w:multiLevelType w:val="hybridMultilevel"/>
    <w:tmpl w:val="A106D198"/>
    <w:lvl w:ilvl="0" w:tplc="0A941F4A">
      <w:start w:val="1"/>
      <w:numFmt w:val="decimal"/>
      <w:lvlText w:val="%1."/>
      <w:lvlJc w:val="left"/>
      <w:pPr>
        <w:ind w:left="360" w:hanging="360"/>
      </w:pPr>
      <w:rPr>
        <w:b w:val="0"/>
        <w:bCs w:val="0"/>
      </w:rPr>
    </w:lvl>
    <w:lvl w:ilvl="1" w:tplc="04090013">
      <w:start w:val="1"/>
      <w:numFmt w:val="hebrew1"/>
      <w:lvlText w:val="%2."/>
      <w:lvlJc w:val="center"/>
      <w:pPr>
        <w:ind w:left="1080" w:hanging="360"/>
      </w:pPr>
      <w:rPr>
        <w:b w:val="0"/>
        <w:bCs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323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132315&amp;lt;/CaseID&amp;gt;_x000d__x000a_        &amp;lt;CaseMonth&amp;gt;1&amp;lt;/CaseMonth&amp;gt;_x000d__x000a_        &amp;lt;CaseYear&amp;gt;2018&amp;lt;/CaseYear&amp;gt;_x000d__x000a_        &amp;lt;CaseNumber&amp;gt;15025&amp;lt;/CaseNumber&amp;gt;_x000d__x000a_        &amp;lt;NumeratorGroupID&amp;gt;1&amp;lt;/NumeratorGroupID&amp;gt;_x000d__x000a_        &amp;lt;CaseName&amp;gt;ברששת נ&amp;#39; פקיד שומה ירושלים סניף כנפי נשר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15025-01-18&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01-07T15:23:29.69+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132315&amp;lt;/CaseID&amp;gt;_x000d__x000a_        &amp;lt;CaseMonth&amp;gt;1&amp;lt;/CaseMonth&amp;gt;_x000d__x000a_        &amp;lt;CaseYear&amp;gt;2018&amp;lt;/CaseYear&amp;gt;_x000d__x000a_        &amp;lt;CaseNumber&amp;gt;15025&amp;lt;/CaseNumber&amp;gt;_x000d__x000a_        &amp;lt;NumeratorGroupID&amp;gt;1&amp;lt;/NumeratorGroupID&amp;gt;_x000d__x000a_        &amp;lt;CaseName&amp;gt;ברששת נ&amp;#39; פקיד שומה ירושלים סניף כנפי נשר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15025-01-18&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8-01-07T15:23:29.69+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IsMainCase&amp;gt;false&amp;lt;/IsMainCase&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69447&amp;lt;/DecisionID&amp;gt;_x000d__x000a_        &amp;lt;DecisionName&amp;gt;פסק דין  שניתנה ע&amp;quot;י  אביגדור דורות&amp;lt;/DecisionName&amp;gt;_x000d__x000a_        &amp;lt;DecisionStatusID&amp;gt;1&amp;lt;/DecisionStatusID&amp;gt;_x000d__x000a_        &amp;lt;DecisionStatusChangeDate&amp;gt;2023-08-29T12:39:46.09+03:00&amp;lt;/DecisionStatusChangeDate&amp;gt;_x000d__x000a_        &amp;lt;DecisionSignatureDate&amp;gt;2023-08-29T12:39:45.353+03:00&amp;lt;/DecisionSignatureDate&amp;gt;_x000d__x000a_        &amp;lt;DecisionSignatureUserID&amp;gt;055121115@GOV.IL&amp;lt;/DecisionSignatureUserID&amp;gt;_x000d__x000a_        &amp;lt;DecisionCreateDate&amp;gt;2023-08-29T10:06:22.217+03:00&amp;lt;/DecisionCreateDate&amp;gt;_x000d__x000a_        &amp;lt;DecisionChangeDate&amp;gt;2023-08-29T12:39:46.473+03:00&amp;lt;/DecisionChangeDate&amp;gt;_x000d__x000a_        &amp;lt;DecisionChangeUserID&amp;gt;05976784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28803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6784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869447&amp;lt;/DecisionID&amp;gt;_x000d__x000a_        &amp;lt;CaseID&amp;gt;75962823&amp;lt;/CaseID&amp;gt;_x000d__x000a_        &amp;lt;IsOriginal&amp;gt;false&amp;lt;/IsOriginal&amp;gt;_x000d__x000a_        &amp;lt;IsDeleted&amp;gt;false&amp;lt;/IsDeleted&amp;gt;_x000d__x000a_        &amp;lt;CaseLinkTypeID&amp;gt;1&amp;lt;/CaseLinkTypeID&amp;gt;_x000d__x000a_        &amp;lt;CaseName&amp;gt;ברששת נ&amp;#39; פקיד שומה ירושלים 1&amp;lt;/CaseName&amp;gt;_x000d__x000a_        &amp;lt;CaseDisplayIdentifier&amp;gt;53454-11-18 ע&amp;quot;מ&amp;lt;/CaseDisplayIdentifier&amp;gt;_x000d__x000a_      &amp;lt;/dt_DecisionCase&amp;gt;_x000d__x000a_      &amp;lt;dt_DecisionCase diffgr:id=&amp;quot;dt_DecisionCase2&amp;quot; msdata:rowOrder=&amp;quot;1&amp;quot;&amp;gt;_x000d__x000a_        &amp;lt;DecisionID&amp;gt;146869447&amp;lt;/DecisionID&amp;gt;_x000d__x000a_        &amp;lt;CaseID&amp;gt;75132315&amp;lt;/CaseID&amp;gt;_x000d__x000a_        &amp;lt;IsOriginal&amp;gt;true&amp;lt;/IsOriginal&amp;gt;_x000d__x000a_        &amp;lt;IsDeleted&amp;gt;false&amp;lt;/IsDeleted&amp;gt;_x000d__x000a_        &amp;lt;CaseLinkTypeID&amp;gt;1&amp;lt;/CaseLinkTypeID&amp;gt;_x000d__x000a_        &amp;lt;CaseName&amp;gt;ברששת נ&amp;#39; פקיד שומה ירושלים סניף כנפי נשרים&amp;lt;/CaseName&amp;gt;_x000d__x000a_        &amp;lt;CaseDisplayIdentifier&amp;gt;15025-01-18 ע&amp;quot;מ&amp;lt;/CaseDisplayIdentifier&amp;gt;_x000d__x000a_      &amp;lt;/dt_DecisionCase&amp;gt;_x000d__x000a_    &amp;lt;/DecisionDS&amp;gt;_x000d__x000a_  &amp;lt;/diffgr:diffgram&amp;gt;_x000d__x000a_&amp;lt;/DecisionDS&amp;gt;"/>
    <w:docVar w:name="DecisionID" w:val="146869447"/>
    <w:docVar w:name="WordClientAssemblyName" w:val="NGCS.Decision.ClientWordBL"/>
    <w:docVar w:name="WordClientClassName" w:val="NGCS.Decision.ClientWordBL.DecisionClient"/>
  </w:docVars>
  <w:rsids>
    <w:rsidRoot w:val="00694556"/>
    <w:rsid w:val="00005C8B"/>
    <w:rsid w:val="00016C35"/>
    <w:rsid w:val="00033921"/>
    <w:rsid w:val="000564AB"/>
    <w:rsid w:val="00060465"/>
    <w:rsid w:val="00060C9D"/>
    <w:rsid w:val="000C36A9"/>
    <w:rsid w:val="00140601"/>
    <w:rsid w:val="0014234E"/>
    <w:rsid w:val="00180333"/>
    <w:rsid w:val="00185DB8"/>
    <w:rsid w:val="001A2245"/>
    <w:rsid w:val="001C4003"/>
    <w:rsid w:val="001E6229"/>
    <w:rsid w:val="00261AA5"/>
    <w:rsid w:val="002A60AC"/>
    <w:rsid w:val="002C070D"/>
    <w:rsid w:val="002D21C4"/>
    <w:rsid w:val="002F3BFC"/>
    <w:rsid w:val="00322D54"/>
    <w:rsid w:val="003944DB"/>
    <w:rsid w:val="003C0325"/>
    <w:rsid w:val="004B1F4D"/>
    <w:rsid w:val="004E6E3C"/>
    <w:rsid w:val="00536743"/>
    <w:rsid w:val="00547DB7"/>
    <w:rsid w:val="00592D9F"/>
    <w:rsid w:val="005B576E"/>
    <w:rsid w:val="00622BAA"/>
    <w:rsid w:val="00625C89"/>
    <w:rsid w:val="00671BD5"/>
    <w:rsid w:val="006805C1"/>
    <w:rsid w:val="00694556"/>
    <w:rsid w:val="006A2D70"/>
    <w:rsid w:val="006B23BF"/>
    <w:rsid w:val="006E1A53"/>
    <w:rsid w:val="006F49D8"/>
    <w:rsid w:val="007056AA"/>
    <w:rsid w:val="007800A6"/>
    <w:rsid w:val="007A24FE"/>
    <w:rsid w:val="00820005"/>
    <w:rsid w:val="00846D27"/>
    <w:rsid w:val="00866D08"/>
    <w:rsid w:val="008A63A0"/>
    <w:rsid w:val="008F2785"/>
    <w:rsid w:val="008F666A"/>
    <w:rsid w:val="009003AA"/>
    <w:rsid w:val="00903896"/>
    <w:rsid w:val="00907F28"/>
    <w:rsid w:val="00910591"/>
    <w:rsid w:val="00912851"/>
    <w:rsid w:val="0098155B"/>
    <w:rsid w:val="00986101"/>
    <w:rsid w:val="009A1709"/>
    <w:rsid w:val="009B2D56"/>
    <w:rsid w:val="00A307AF"/>
    <w:rsid w:val="00A74D70"/>
    <w:rsid w:val="00A95E50"/>
    <w:rsid w:val="00AC2680"/>
    <w:rsid w:val="00AF1ED6"/>
    <w:rsid w:val="00AF6FA4"/>
    <w:rsid w:val="00B2334F"/>
    <w:rsid w:val="00B80CBD"/>
    <w:rsid w:val="00BE5D01"/>
    <w:rsid w:val="00BF44D0"/>
    <w:rsid w:val="00CD0A91"/>
    <w:rsid w:val="00D53924"/>
    <w:rsid w:val="00D96D8C"/>
    <w:rsid w:val="00DD3135"/>
    <w:rsid w:val="00E54642"/>
    <w:rsid w:val="00E97908"/>
    <w:rsid w:val="00F4799D"/>
    <w:rsid w:val="00F64BC8"/>
    <w:rsid w:val="00FA7D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0E6832D-0DCD-408F-ADBB-06DBFFF7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BF4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63054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176990958</CasePartyID>
        <PartyTypeID>2</PartyTypeID>
        <ActivityStatusID>1</ActivityStatusID>
        <PartyAliasID>23</PartyAliasID>
        <PartyAliasName>בא כוח משיבים</PartyAliasName>
        <LegalEntityID>397179</LegalEntityID>
        <CaseLegalEntityID>100706721</CaseLegalEntityID>
        <AuthenticationTypeID>4</AuthenticationTypeID>
        <AuthenticationTypeName>מ.ר.</AuthenticationTypeName>
        <LegalEntityNumber>16651</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משה ברששת</FullName>
        <FirstName>משה</FirstName>
        <LastName>ברששת</LastName>
        <PartyPropertyName/>
        <AuthenticationTypeAndNumber>ת"ז 029605458</AuthenticationTypeAndNumber>
        <RepresentatedOrRepresentativesNames>ענת בלנגה</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176342956</CasePartyID>
        <PartyTypeID>1</PartyTypeID>
        <ActivityStatusID>1</ActivityStatusID>
        <PartyAliasID>5</PartyAliasID>
        <PartyAliasName>מערער</PartyAliasName>
        <OrdinalNumber>1</OrdinalNumber>
        <LegalEntityID>1529262</LegalEntityID>
        <CaseLegalEntityID>100513419</CaseLegalEntityID>
        <AuthenticationTypeID>1</AuthenticationTypeID>
        <AuthenticationTypeName>ת"ז</AuthenticationTypeName>
        <LegalEntityNumber>029605458</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
        <MotionID>0</MotionID>
        <CasePleaID>0</CasePleaID>
        <FatherName>אליהו</FatherName>
        <LinkedCaseID>0</LinkedCaseID>
        <PartyID>1</PartyID>
        <CasePartyCategoryID>2</CasePartyCategoryID>
        <PleaTypeID>6</PleaTypeID>
        <GroupPartyAlias>מערערים</GroupPartyAlias>
        <IsConverted>false</IsConverted>
        <LegalEntityRegisteredNameID>7102360</LegalEntityRegisteredNameID>
        <LegalEntityNameID>85052395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ברששת</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סניף כנפי נשרים</FullName>
        <LastName>פקיד שומה ירושלים סניף כנפי נשרים</LastName>
        <PartyPropertyName/>
        <AuthenticationTypeAndNumber>גופים על פי דין 513436199</AuthenticationTypeAndNumber>
        <RepresentatedOrRepresentativesNames>כוכבית נצח</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176342957</CasePartyID>
        <PartyTypeID>1</PartyTypeID>
        <ActivityStatusID>1</ActivityStatusID>
        <PartyAliasID>4</PartyAliasID>
        <PartyAliasName>משיב</PartyAliasName>
        <OrdinalNumber>1</OrdinalNumber>
        <LegalEntityID>15866547</LegalEntityID>
        <CaseLegalEntityID>100513420</CaseLegalEntityID>
        <AuthenticationTypeID>17</AuthenticationTypeID>
        <AuthenticationTypeName>גופים על פי דין</AuthenticationTypeName>
        <LegalEntityNumber>513436199</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
        <MotionID>0</MotionID>
        <CasePleaID>0</CasePleaID>
        <LinkedCaseID>0</LinkedCaseID>
        <PartyID>2</PartyID>
        <CasePartyCategoryID>2</CasePartyCategoryID>
        <PleaTypeID>6</PleaTypeID>
        <GroupPartyAlias>משיבים</GroupPartyAlias>
        <IsConverted>false</IsConverted>
        <LegalEntityRegisteredNameID>1721318</LegalEntityRegisteredNameID>
        <RepresentatedNamesOfAssistant/>
        <LegalEntityTypeID>3</LegalEntityTypeID>
        <IsVerdictExists>false</IsVerdictExists>
        <IsAsirAzir>false</IsAsirAzir>
        <IsPublicationProhibited>false</IsPublicationProhibited>
        <PublicationProhibitedFullName>פקיד שומה ירושלים סניף כנפי נשרים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ענת בלנגה</FullName>
        <FirstName>ענת</FirstName>
        <LastName>בלנגה</LastName>
        <PartyPropertyName/>
        <AuthenticationTypeAndNumber>מ.ר. 37842</AuthenticationTypeAndNumber>
        <RepresentatedOrRepresentativesNames>משה ברששת</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176342955</CasePartyID>
        <PartyTypeID>2</PartyTypeID>
        <ActivityStatusID>1</ActivityStatusID>
        <PartyAliasID>24</PartyAliasID>
        <PartyAliasName>בא כוח מערערים</PartyAliasName>
        <OrdinalNumber>2</OrdinalNumber>
        <LegalEntityID>408884</LegalEntityID>
        <CaseLegalEntityID>100513418</CaseLegalEntityID>
        <AuthenticationTypeID>4</AuthenticationTypeID>
        <AuthenticationTypeName>מ.ר.</AuthenticationTypeName>
        <LegalEntityNumber>37842</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אחד העם 9 תל אביב -יפו מגדל שלום קומה 16</FullAddress>
        <EmailAddress>office@blanga.co.il</EmailAddress>
        <MotionID>0</MotionID>
        <CasePleaID>0</CasePleaID>
        <FatherName xml:space="preserve">        </FatherName>
        <LinkedCaseID>0</LinkedCaseID>
        <PartyID>1</PartyID>
        <CasePartyCategoryID>2</CasePartyCategoryID>
        <LegalEntityAddressID>78339845</LegalEntityAddressID>
        <LegalEntityEmailAddressID>67899737</LegalEntityEmailAddressID>
        <PleaTypeID>6</PleaTypeID>
        <LawyerOfficeName>משרד עו"ד:ג.בלנגה איתני ושות'</LawyerOfficeName>
        <LawyerOfficeID>449528</LawyerOfficeID>
        <GroupPartyAlias/>
        <IsConverted>false</IsConverted>
        <LegalEntityNameID>29868</LegalEntityNameID>
        <RepresentatedNamesOfAssistant/>
        <LegalEntityTypeID>4</LegalEntityTypeID>
        <IsVerdictExists>false</IsVerdictExists>
        <IsAsirAzir>false</IsAsirAzir>
        <IsPublicationProhibited>false</IsPublicationProhibited>
        <PublicationProhibitedFullName>ענת בלנגה</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2023-08-29T10:01:01.0214697+03:00</DecisionSignatureDate>
    <OpenCaseDate>2018-01-07T15:23:29.69+02:00</OpenCaseDate>
    <DecisionTypeID>2</DecisionTypeID>
    <DecisionSignatureUserName>אביגדור דורות</DecisionSignatureUserName>
    <DecisionSignatureDateHebrew>2023-08-29T10:01:01.0214697+03:00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ברששת נ' פקיד שומה ירושלים סניף כנפי נשרים</CaseName>
    <DecisionNumberInCase>2</DecisionNumberInCase>
  </dt_Decision>
  <dt_DecisionCase>
    <DecisionID>0</DecisionID>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176990958</CasePartyID>
        <PartyTypeID>2</PartyTypeID>
        <ActivityStatusID>1</ActivityStatusID>
        <PartyAliasID>23</PartyAliasID>
        <PartyAliasName>בא כוח משיבים</PartyAliasName>
        <LegalEntityID>397179</LegalEntityID>
        <CaseLegalEntityID>100706721</CaseLegalEntityID>
        <AuthenticationTypeID>4</AuthenticationTypeID>
        <AuthenticationTypeName>מ.ר.</AuthenticationTypeName>
        <LegalEntityNumber>16651</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משה ברששת</FullName>
        <FirstName>משה</FirstName>
        <LastName>ברששת</LastName>
        <PartyPropertyName/>
        <AuthenticationTypeAndNumber>ת"ז 029605458</AuthenticationTypeAndNumber>
        <RepresentatedOrRepresentativesNames>ענת בלנגה</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176342956</CasePartyID>
        <PartyTypeID>1</PartyTypeID>
        <ActivityStatusID>1</ActivityStatusID>
        <PartyAliasID>5</PartyAliasID>
        <PartyAliasName>מערער</PartyAliasName>
        <OrdinalNumber>1</OrdinalNumber>
        <LegalEntityID>1529262</LegalEntityID>
        <CaseLegalEntityID>100513419</CaseLegalEntityID>
        <AuthenticationTypeID>1</AuthenticationTypeID>
        <AuthenticationTypeName>ת"ז</AuthenticationTypeName>
        <LegalEntityNumber>029605458</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
        <MotionID>0</MotionID>
        <CasePleaID>0</CasePleaID>
        <FatherName>אליהו</FatherName>
        <LinkedCaseID>0</LinkedCaseID>
        <PartyID>1</PartyID>
        <CasePartyCategoryID>2</CasePartyCategoryID>
        <PleaTypeID>6</PleaTypeID>
        <GroupPartyAlias>מערערים</GroupPartyAlias>
        <IsConverted>false</IsConverted>
        <LegalEntityRegisteredNameID>7102360</LegalEntityRegisteredNameID>
        <LegalEntityNameID>85052395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ברששת</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סניף כנפי נשרים</FullName>
        <LastName>פקיד שומה ירושלים סניף כנפי נשרים</LastName>
        <PartyPropertyName/>
        <AuthenticationTypeAndNumber>גופים על פי דין 513436199</AuthenticationTypeAndNumber>
        <RepresentatedOrRepresentativesNames>כוכבית נצח</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176342957</CasePartyID>
        <PartyTypeID>1</PartyTypeID>
        <ActivityStatusID>1</ActivityStatusID>
        <PartyAliasID>4</PartyAliasID>
        <PartyAliasName>משיב</PartyAliasName>
        <OrdinalNumber>1</OrdinalNumber>
        <LegalEntityID>15866547</LegalEntityID>
        <CaseLegalEntityID>100513420</CaseLegalEntityID>
        <AuthenticationTypeID>17</AuthenticationTypeID>
        <AuthenticationTypeName>גופים על פי דין</AuthenticationTypeName>
        <LegalEntityNumber>513436199</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
        <MotionID>0</MotionID>
        <CasePleaID>0</CasePleaID>
        <LinkedCaseID>0</LinkedCaseID>
        <PartyID>2</PartyID>
        <CasePartyCategoryID>2</CasePartyCategoryID>
        <PleaTypeID>6</PleaTypeID>
        <GroupPartyAlias>משיבים</GroupPartyAlias>
        <IsConverted>false</IsConverted>
        <LegalEntityRegisteredNameID>1721318</LegalEntityRegisteredNameID>
        <RepresentatedNamesOfAssistant/>
        <LegalEntityTypeID>3</LegalEntityTypeID>
        <IsVerdictExists>false</IsVerdictExists>
        <IsAsirAzir>false</IsAsirAzir>
        <IsPublicationProhibited>false</IsPublicationProhibited>
        <PublicationProhibitedFullName>פקיד שומה ירושלים סניף כנפי נשרים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ענת בלנגה</FullName>
        <FirstName>ענת</FirstName>
        <LastName>בלנגה</LastName>
        <PartyPropertyName/>
        <AuthenticationTypeAndNumber>מ.ר. 37842</AuthenticationTypeAndNumber>
        <RepresentatedOrRepresentativesNames>משה ברששת</RepresentatedOrRepresentativesNames>
        <RepresentatedOrRepresentativesCount>1</RepresentatedOrRepresentativesCount>
        <InvitedBy/>
        <CaseID>75132315</CaseID>
        <CaseJudicialPersonPresentationDS>
          <CaseJudicalPersonActive>
            <CaseID>75132315</CaseID>
            <JudicialPersonID>055121115@GOV.IL</JudicialPersonID>
            <JudicialPersonTypeID>1</JudicialPersonTypeID>
            <JudicialTypeID>1</JudicialTypeID>
            <IsChairman>false</IsChairman>
            <TreatmentStartDate>2018-03-11T16:33:00.293+02:00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176342955</CasePartyID>
        <PartyTypeID>2</PartyTypeID>
        <ActivityStatusID>1</ActivityStatusID>
        <PartyAliasID>24</PartyAliasID>
        <PartyAliasName>בא כוח מערערים</PartyAliasName>
        <OrdinalNumber>2</OrdinalNumber>
        <LegalEntityID>408884</LegalEntityID>
        <CaseLegalEntityID>100513418</CaseLegalEntityID>
        <AuthenticationTypeID>4</AuthenticationTypeID>
        <AuthenticationTypeName>מ.ר.</AuthenticationTypeName>
        <LegalEntityNumber>37842</LegalEntityNumber>
        <IsMainPartyType>true</IsMainPartyType>
        <CaseDisplayIdentifier>15025-01-18</CaseDisplayIdentifier>
        <CaseTypeID>10113</CaseTypeID>
        <CaseTypeName>ערעור מסים (ע"מ)</CaseTypeName>
        <CaseName>ברששת נ' פקיד שומה ירושלים סניף כנפי נשרים</CaseName>
        <FullAddress>אחד העם 9 תל אביב -יפו מגדל שלום קומה 16</FullAddress>
        <EmailAddress>office@blanga.co.il</EmailAddress>
        <MotionID>0</MotionID>
        <CasePleaID>0</CasePleaID>
        <FatherName xml:space="preserve">        </FatherName>
        <LinkedCaseID>0</LinkedCaseID>
        <PartyID>1</PartyID>
        <CasePartyCategoryID>2</CasePartyCategoryID>
        <LegalEntityAddressID>78339845</LegalEntityAddressID>
        <LegalEntityEmailAddressID>67899737</LegalEntityEmailAddressID>
        <PleaTypeID>6</PleaTypeID>
        <LawyerOfficeName>משרד עו"ד:ג.בלנגה איתני ושות'</LawyerOfficeName>
        <LawyerOfficeID>449528</LawyerOfficeID>
        <GroupPartyAlias/>
        <IsConverted>false</IsConverted>
        <LegalEntityNameID>29868</LegalEntityNameID>
        <RepresentatedNamesOfAssistant/>
        <LegalEntityTypeID>4</LegalEntityTypeID>
        <IsVerdictExists>false</IsVerdictExists>
        <IsAsirAzir>false</IsAsirAzir>
        <IsPublicationProhibited>false</IsPublicationProhibited>
        <PublicationProhibitedFullName>ענת בלנגה</PublicationProhibitedFullName>
      </CaseParties>
    </CasePartiesSelectionDS>
    <CaseName>ברששת נ' פקיד שומה ירושלים סניף כנפי נשרים</CaseName>
    <CaseDisplayIdentifier>15025-01-18</CaseDisplayIdentifier>
    <CaseInterestID>65</CaseInterestID>
    <CaseTypeShortName>ע"מ</CaseTypeShortName>
  </dt_DecisionCase>
  <dt_DecisionCase>
    <DecisionID>0</DecisionID>
    <CaseID>75962823</CaseID>
    <CaseJudicialPersonPresentationDS/>
    <CasePartiesSelectionDS/>
    <CaseName>ברששת נ' פקיד שומה ירושלים 1</CaseName>
    <CaseDisplayIdentifier>53454-11-18</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Fax>02-5419581</Fax>
    <Phone>02-5419555</Phone>
    <PartyID>2</PartyID>
    <PartyTypeID>2</PartyTypeID>
    <DecisionID>0</DecisionID>
    <StreetName>מח"ל 7</StreetName>
    <CityName>ירושלים</CityName>
    <FullName>כוכבית נצח</FullName>
    <Email>Ez-jer@justice.gov.il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03-5668011</Fax>
    <Phone>03-5668010</Phone>
    <AddressDesc>מגדל שלום קומה 16</AddressDesc>
    <PartyID>1</PartyID>
    <PartyTypeID>2</PartyTypeID>
    <DecisionID>0</DecisionID>
    <StreetName>אחד העם 9</StreetName>
    <ZipCode>6525101</ZipCode>
    <CityName>תל אביב -יפו</CityName>
    <FullName>ענת בלנגה</FullName>
    <Email>office@blanga.co.il</Email>
    <IsPublicationProhibited>false</IsPublicationProhibited>
  </dt_LegalEntityDetails>
  <dt_CaseJudicalPersonActive>
    <CaseJudicalPerson>שופט אביגדור דורות</CaseJudicalPerson>
  </dt_CaseJudicalPersonActive>
  <dt_Sitting>
    <PreviousMeetingDate>2021-10-18T10:00:00+03:00</PreviousMeetingDate>
    <PreviousSittingTypeID>1</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719D2F47-AFEB-4AF5-85E9-9C4354B361B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3603</Words>
  <Characters>18020</Characters>
  <Application>Microsoft Office Word</Application>
  <DocSecurity>4</DocSecurity>
  <Lines>150</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2023-08-30T06:26:00Z</dcterms:created>
  <dcterms:modified xsi:type="dcterms:W3CDTF">2023-08-30T06:26:00Z</dcterms:modified>
</cp:coreProperties>
</file>